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4BC" w:rsidRPr="00627719" w:rsidRDefault="00975CB4" w:rsidP="009B4837">
      <w:pPr>
        <w:rPr>
          <w:lang w:val="en-GB"/>
        </w:rPr>
      </w:pPr>
      <w:r>
        <w:rPr>
          <w:noProof/>
        </w:rPr>
        <w:drawing>
          <wp:inline distT="0" distB="0" distL="0" distR="0">
            <wp:extent cx="6124575" cy="1724025"/>
            <wp:effectExtent l="19050" t="0" r="9525"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6124575" cy="1724025"/>
                    </a:xfrm>
                    <a:prstGeom prst="rect">
                      <a:avLst/>
                    </a:prstGeom>
                    <a:noFill/>
                    <a:ln w="9525">
                      <a:noFill/>
                      <a:miter lim="800000"/>
                      <a:headEnd/>
                      <a:tailEnd/>
                    </a:ln>
                  </pic:spPr>
                </pic:pic>
              </a:graphicData>
            </a:graphic>
          </wp:inline>
        </w:drawing>
      </w:r>
    </w:p>
    <w:p w:rsidR="003064B6" w:rsidRPr="00627719" w:rsidRDefault="003064B6" w:rsidP="00C91DB9">
      <w:pPr>
        <w:autoSpaceDE w:val="0"/>
        <w:ind w:firstLine="720"/>
        <w:jc w:val="center"/>
        <w:rPr>
          <w:b/>
          <w:bCs/>
          <w:lang w:val="en-GB"/>
        </w:rPr>
      </w:pPr>
    </w:p>
    <w:p w:rsidR="000F7E70" w:rsidRPr="00627719" w:rsidRDefault="000F7E70" w:rsidP="009B4837">
      <w:pPr>
        <w:autoSpaceDE w:val="0"/>
        <w:jc w:val="center"/>
        <w:rPr>
          <w:b/>
          <w:bCs/>
          <w:lang w:val="en-GB"/>
        </w:rPr>
      </w:pPr>
      <w:r w:rsidRPr="00627719">
        <w:rPr>
          <w:b/>
          <w:bCs/>
          <w:lang w:val="en-GB"/>
        </w:rPr>
        <w:t>OPINION</w:t>
      </w:r>
    </w:p>
    <w:p w:rsidR="000F7E70" w:rsidRPr="00627719" w:rsidRDefault="000F7E70" w:rsidP="000F7E70">
      <w:pPr>
        <w:autoSpaceDE w:val="0"/>
        <w:ind w:left="720" w:firstLine="720"/>
        <w:jc w:val="both"/>
        <w:rPr>
          <w:b/>
          <w:bCs/>
          <w:lang w:val="en-GB"/>
        </w:rPr>
      </w:pPr>
    </w:p>
    <w:p w:rsidR="000F7E70" w:rsidRPr="00627719" w:rsidRDefault="000F7E70" w:rsidP="000F7E70">
      <w:pPr>
        <w:autoSpaceDE w:val="0"/>
        <w:jc w:val="both"/>
        <w:rPr>
          <w:b/>
          <w:bCs/>
          <w:lang w:val="en-GB"/>
        </w:rPr>
      </w:pPr>
      <w:r w:rsidRPr="00627719">
        <w:rPr>
          <w:b/>
          <w:bCs/>
          <w:lang w:val="en-GB"/>
        </w:rPr>
        <w:t xml:space="preserve">Date of adoption: </w:t>
      </w:r>
      <w:r w:rsidR="003064B6" w:rsidRPr="00627719">
        <w:rPr>
          <w:b/>
          <w:bCs/>
          <w:lang w:val="en-GB"/>
        </w:rPr>
        <w:t>14</w:t>
      </w:r>
      <w:r w:rsidR="00342A11" w:rsidRPr="00627719">
        <w:rPr>
          <w:b/>
          <w:bCs/>
          <w:color w:val="000000"/>
          <w:lang w:val="en-GB"/>
        </w:rPr>
        <w:t xml:space="preserve"> March</w:t>
      </w:r>
      <w:r w:rsidRPr="00627719">
        <w:rPr>
          <w:b/>
          <w:bCs/>
          <w:color w:val="000000"/>
          <w:lang w:val="en-GB"/>
        </w:rPr>
        <w:t xml:space="preserve"> 20</w:t>
      </w:r>
      <w:r w:rsidR="00C905F1" w:rsidRPr="00627719">
        <w:rPr>
          <w:b/>
          <w:bCs/>
          <w:lang w:val="en-GB"/>
        </w:rPr>
        <w:t>1</w:t>
      </w:r>
      <w:r w:rsidR="00A76DB6" w:rsidRPr="00627719">
        <w:rPr>
          <w:b/>
          <w:bCs/>
          <w:lang w:val="en-GB"/>
        </w:rPr>
        <w:t>3</w:t>
      </w:r>
    </w:p>
    <w:p w:rsidR="000F7E70" w:rsidRPr="00627719" w:rsidRDefault="000F7E70" w:rsidP="000F7E70">
      <w:pPr>
        <w:autoSpaceDE w:val="0"/>
        <w:jc w:val="both"/>
        <w:rPr>
          <w:b/>
          <w:bCs/>
          <w:lang w:val="en-GB"/>
        </w:rPr>
      </w:pPr>
    </w:p>
    <w:p w:rsidR="000F7E70" w:rsidRPr="00627719" w:rsidRDefault="000F7E70" w:rsidP="000F7E70">
      <w:pPr>
        <w:autoSpaceDE w:val="0"/>
        <w:jc w:val="both"/>
        <w:rPr>
          <w:b/>
          <w:bCs/>
          <w:lang w:val="en-GB"/>
        </w:rPr>
      </w:pPr>
      <w:r w:rsidRPr="00627719">
        <w:rPr>
          <w:b/>
          <w:bCs/>
          <w:lang w:val="en-GB"/>
        </w:rPr>
        <w:t xml:space="preserve">Case No. </w:t>
      </w:r>
      <w:r w:rsidR="00342A11" w:rsidRPr="00627719">
        <w:rPr>
          <w:b/>
          <w:bCs/>
          <w:lang w:val="en-GB"/>
        </w:rPr>
        <w:t>272/09</w:t>
      </w:r>
    </w:p>
    <w:p w:rsidR="000F7E70" w:rsidRPr="00627719" w:rsidRDefault="000F7E70" w:rsidP="000F7E70">
      <w:pPr>
        <w:autoSpaceDE w:val="0"/>
        <w:jc w:val="both"/>
        <w:rPr>
          <w:b/>
          <w:bCs/>
          <w:lang w:val="en-GB"/>
        </w:rPr>
      </w:pPr>
    </w:p>
    <w:p w:rsidR="00D50CF5" w:rsidRPr="00627719" w:rsidRDefault="00D50CF5" w:rsidP="00D50CF5">
      <w:pPr>
        <w:tabs>
          <w:tab w:val="left" w:pos="360"/>
        </w:tabs>
        <w:suppressAutoHyphens/>
        <w:autoSpaceDE w:val="0"/>
        <w:jc w:val="both"/>
        <w:rPr>
          <w:b/>
        </w:rPr>
      </w:pPr>
      <w:r w:rsidRPr="00627719">
        <w:rPr>
          <w:b/>
          <w:bCs/>
          <w:lang w:val="en-GB"/>
        </w:rPr>
        <w:t xml:space="preserve">Jagoda </w:t>
      </w:r>
      <w:r w:rsidRPr="00627719">
        <w:rPr>
          <w:b/>
        </w:rPr>
        <w:t>VUKIĆEVIĆ</w:t>
      </w:r>
    </w:p>
    <w:p w:rsidR="00A40F98" w:rsidRPr="00627719" w:rsidRDefault="00A40F98" w:rsidP="000F7E70">
      <w:pPr>
        <w:autoSpaceDE w:val="0"/>
        <w:jc w:val="both"/>
        <w:rPr>
          <w:b/>
          <w:bCs/>
          <w:lang w:val="en-GB"/>
        </w:rPr>
      </w:pPr>
    </w:p>
    <w:p w:rsidR="000F7E70" w:rsidRPr="00627719" w:rsidRDefault="000F7E70" w:rsidP="000F7E70">
      <w:pPr>
        <w:autoSpaceDE w:val="0"/>
        <w:jc w:val="both"/>
        <w:rPr>
          <w:b/>
          <w:bCs/>
          <w:lang w:val="en-GB"/>
        </w:rPr>
      </w:pPr>
      <w:r w:rsidRPr="00627719">
        <w:rPr>
          <w:b/>
          <w:bCs/>
          <w:lang w:val="en-GB"/>
        </w:rPr>
        <w:t>against</w:t>
      </w:r>
    </w:p>
    <w:p w:rsidR="000F7E70" w:rsidRPr="00627719" w:rsidRDefault="000F7E70" w:rsidP="000F7E70">
      <w:pPr>
        <w:autoSpaceDE w:val="0"/>
        <w:jc w:val="both"/>
        <w:rPr>
          <w:b/>
          <w:bCs/>
          <w:lang w:val="en-GB"/>
        </w:rPr>
      </w:pPr>
    </w:p>
    <w:p w:rsidR="000F7E70" w:rsidRPr="00627719" w:rsidRDefault="000F7E70" w:rsidP="000F7E70">
      <w:pPr>
        <w:autoSpaceDE w:val="0"/>
        <w:jc w:val="both"/>
        <w:rPr>
          <w:b/>
          <w:bCs/>
          <w:lang w:val="en-GB"/>
        </w:rPr>
      </w:pPr>
      <w:r w:rsidRPr="00627719">
        <w:rPr>
          <w:b/>
          <w:bCs/>
          <w:lang w:val="en-GB"/>
        </w:rPr>
        <w:t xml:space="preserve">UNMIK </w:t>
      </w:r>
    </w:p>
    <w:p w:rsidR="00E07C8C" w:rsidRPr="00627719" w:rsidRDefault="00E07C8C" w:rsidP="000F7E70">
      <w:pPr>
        <w:autoSpaceDE w:val="0"/>
        <w:jc w:val="both"/>
        <w:rPr>
          <w:b/>
          <w:bCs/>
          <w:lang w:val="en-GB"/>
        </w:rPr>
      </w:pPr>
    </w:p>
    <w:p w:rsidR="000F7E70" w:rsidRPr="00627719" w:rsidRDefault="000F7E70" w:rsidP="000F7E70">
      <w:pPr>
        <w:autoSpaceDE w:val="0"/>
        <w:jc w:val="both"/>
        <w:rPr>
          <w:b/>
          <w:bCs/>
          <w:lang w:val="en-GB"/>
        </w:rPr>
      </w:pPr>
    </w:p>
    <w:p w:rsidR="000F7E70" w:rsidRPr="00627719" w:rsidRDefault="000F7E70" w:rsidP="000F7E70">
      <w:pPr>
        <w:autoSpaceDE w:val="0"/>
        <w:jc w:val="both"/>
        <w:rPr>
          <w:lang w:val="en-GB"/>
        </w:rPr>
      </w:pPr>
      <w:r w:rsidRPr="00627719">
        <w:rPr>
          <w:lang w:val="en-GB"/>
        </w:rPr>
        <w:t>The Human Rights Advisory Panel</w:t>
      </w:r>
      <w:r w:rsidR="00F379DF" w:rsidRPr="00627719">
        <w:rPr>
          <w:lang w:val="en-GB"/>
        </w:rPr>
        <w:t>,</w:t>
      </w:r>
      <w:r w:rsidR="00BD6F0B" w:rsidRPr="00627719">
        <w:rPr>
          <w:lang w:val="en-GB"/>
        </w:rPr>
        <w:t xml:space="preserve"> sitting</w:t>
      </w:r>
      <w:r w:rsidR="003A3E9C" w:rsidRPr="00627719">
        <w:rPr>
          <w:lang w:val="en-GB"/>
        </w:rPr>
        <w:t xml:space="preserve"> </w:t>
      </w:r>
      <w:r w:rsidRPr="00627719">
        <w:rPr>
          <w:lang w:val="en-GB"/>
        </w:rPr>
        <w:t>on</w:t>
      </w:r>
      <w:r w:rsidR="001A08B0" w:rsidRPr="00627719">
        <w:rPr>
          <w:lang w:val="en-GB"/>
        </w:rPr>
        <w:t xml:space="preserve"> </w:t>
      </w:r>
      <w:r w:rsidR="003064B6" w:rsidRPr="00627719">
        <w:rPr>
          <w:lang w:val="en-GB"/>
        </w:rPr>
        <w:t>14</w:t>
      </w:r>
      <w:r w:rsidR="001A08B0" w:rsidRPr="00627719">
        <w:rPr>
          <w:lang w:val="en-GB"/>
        </w:rPr>
        <w:t xml:space="preserve"> </w:t>
      </w:r>
      <w:r w:rsidR="00342A11" w:rsidRPr="00627719">
        <w:rPr>
          <w:lang w:val="en-GB"/>
        </w:rPr>
        <w:t xml:space="preserve">March </w:t>
      </w:r>
      <w:r w:rsidR="00173F75" w:rsidRPr="00627719">
        <w:rPr>
          <w:lang w:val="en-GB"/>
        </w:rPr>
        <w:t>20</w:t>
      </w:r>
      <w:r w:rsidR="005917EC" w:rsidRPr="00627719">
        <w:rPr>
          <w:lang w:val="en-GB"/>
        </w:rPr>
        <w:t>1</w:t>
      </w:r>
      <w:r w:rsidR="00A76DB6" w:rsidRPr="00627719">
        <w:rPr>
          <w:lang w:val="en-GB"/>
        </w:rPr>
        <w:t>3</w:t>
      </w:r>
      <w:r w:rsidR="004234FA" w:rsidRPr="00627719">
        <w:rPr>
          <w:lang w:val="en-GB"/>
        </w:rPr>
        <w:t>,</w:t>
      </w:r>
    </w:p>
    <w:p w:rsidR="000F7E70" w:rsidRPr="00627719" w:rsidRDefault="000F7E70" w:rsidP="000F7E70">
      <w:pPr>
        <w:autoSpaceDE w:val="0"/>
        <w:jc w:val="both"/>
        <w:rPr>
          <w:lang w:val="en-GB"/>
        </w:rPr>
      </w:pPr>
      <w:r w:rsidRPr="00627719">
        <w:rPr>
          <w:lang w:val="en-GB"/>
        </w:rPr>
        <w:t xml:space="preserve">with the following members </w:t>
      </w:r>
      <w:r w:rsidR="003C6DFA" w:rsidRPr="00627719">
        <w:rPr>
          <w:lang w:val="en-GB"/>
        </w:rPr>
        <w:t>present</w:t>
      </w:r>
      <w:r w:rsidRPr="00627719">
        <w:rPr>
          <w:lang w:val="en-GB"/>
        </w:rPr>
        <w:t>:</w:t>
      </w:r>
    </w:p>
    <w:p w:rsidR="000F7E70" w:rsidRPr="00627719" w:rsidRDefault="000F7E70" w:rsidP="000F7E70">
      <w:pPr>
        <w:autoSpaceDE w:val="0"/>
        <w:jc w:val="both"/>
        <w:rPr>
          <w:lang w:val="en-GB"/>
        </w:rPr>
      </w:pPr>
    </w:p>
    <w:p w:rsidR="00E07C8C" w:rsidRPr="00627719" w:rsidRDefault="00E07C8C" w:rsidP="000F7E70">
      <w:pPr>
        <w:autoSpaceDE w:val="0"/>
        <w:jc w:val="both"/>
        <w:rPr>
          <w:lang w:val="en-GB"/>
        </w:rPr>
      </w:pPr>
      <w:r w:rsidRPr="00627719">
        <w:rPr>
          <w:lang w:val="en-GB"/>
        </w:rPr>
        <w:t>Mr Marek NOWICKI, Presiding Membe</w:t>
      </w:r>
      <w:r w:rsidR="000D5BCF" w:rsidRPr="00627719">
        <w:rPr>
          <w:lang w:val="en-GB"/>
        </w:rPr>
        <w:t>r</w:t>
      </w:r>
    </w:p>
    <w:p w:rsidR="000F7E70" w:rsidRPr="00627719" w:rsidRDefault="000F7E70" w:rsidP="000F7E70">
      <w:pPr>
        <w:autoSpaceDE w:val="0"/>
        <w:jc w:val="both"/>
        <w:rPr>
          <w:lang w:val="en-GB"/>
        </w:rPr>
      </w:pPr>
      <w:r w:rsidRPr="00627719">
        <w:rPr>
          <w:lang w:val="en-GB"/>
        </w:rPr>
        <w:t xml:space="preserve">Ms </w:t>
      </w:r>
      <w:r w:rsidR="00E07C8C" w:rsidRPr="00627719">
        <w:rPr>
          <w:lang w:val="en-GB"/>
        </w:rPr>
        <w:t>Christine CHINKIN</w:t>
      </w:r>
    </w:p>
    <w:p w:rsidR="000F7E70" w:rsidRPr="00627719" w:rsidRDefault="00A40F98" w:rsidP="000F7E70">
      <w:pPr>
        <w:autoSpaceDE w:val="0"/>
        <w:jc w:val="both"/>
        <w:rPr>
          <w:lang w:val="en-GB"/>
        </w:rPr>
      </w:pPr>
      <w:r w:rsidRPr="00627719">
        <w:rPr>
          <w:lang w:val="en-GB"/>
        </w:rPr>
        <w:t xml:space="preserve">Ms Françoise </w:t>
      </w:r>
      <w:r w:rsidR="00F04F5B" w:rsidRPr="00627719">
        <w:rPr>
          <w:lang w:val="en-GB"/>
        </w:rPr>
        <w:t>TULKENS</w:t>
      </w:r>
    </w:p>
    <w:p w:rsidR="00A76DB6" w:rsidRPr="00627719" w:rsidRDefault="00A76DB6" w:rsidP="000F7E70">
      <w:pPr>
        <w:autoSpaceDE w:val="0"/>
        <w:jc w:val="both"/>
        <w:rPr>
          <w:lang w:val="en-GB"/>
        </w:rPr>
      </w:pPr>
    </w:p>
    <w:p w:rsidR="000F7E70" w:rsidRPr="00627719" w:rsidRDefault="00E07C8C" w:rsidP="000F7E70">
      <w:pPr>
        <w:autoSpaceDE w:val="0"/>
        <w:jc w:val="both"/>
        <w:rPr>
          <w:lang w:val="en-GB"/>
        </w:rPr>
      </w:pPr>
      <w:r w:rsidRPr="00627719">
        <w:rPr>
          <w:lang w:val="en-GB"/>
        </w:rPr>
        <w:t>Assisted by</w:t>
      </w:r>
    </w:p>
    <w:p w:rsidR="00E07C8C" w:rsidRPr="00627719" w:rsidRDefault="00E07C8C" w:rsidP="000F7E70">
      <w:pPr>
        <w:autoSpaceDE w:val="0"/>
        <w:jc w:val="both"/>
        <w:rPr>
          <w:lang w:val="en-GB"/>
        </w:rPr>
      </w:pPr>
    </w:p>
    <w:p w:rsidR="000F7E70" w:rsidRPr="00627719" w:rsidRDefault="00A16C77" w:rsidP="000F7E70">
      <w:pPr>
        <w:autoSpaceDE w:val="0"/>
        <w:jc w:val="both"/>
        <w:rPr>
          <w:lang w:val="en-GB"/>
        </w:rPr>
      </w:pPr>
      <w:r w:rsidRPr="00627719">
        <w:rPr>
          <w:lang w:val="en-GB"/>
        </w:rPr>
        <w:t>Mr</w:t>
      </w:r>
      <w:r w:rsidR="000F7E70" w:rsidRPr="00627719">
        <w:rPr>
          <w:lang w:val="en-GB"/>
        </w:rPr>
        <w:t xml:space="preserve"> </w:t>
      </w:r>
      <w:r w:rsidR="00E07C8C" w:rsidRPr="00627719">
        <w:rPr>
          <w:lang w:val="en-GB"/>
        </w:rPr>
        <w:t>Andrey ANTONOV</w:t>
      </w:r>
      <w:r w:rsidR="000F7E70" w:rsidRPr="00627719">
        <w:rPr>
          <w:lang w:val="en-GB"/>
        </w:rPr>
        <w:t>, Executive Officer</w:t>
      </w:r>
    </w:p>
    <w:p w:rsidR="00E07C8C" w:rsidRPr="00627719" w:rsidRDefault="00E07C8C" w:rsidP="000F7E70">
      <w:pPr>
        <w:autoSpaceDE w:val="0"/>
        <w:jc w:val="both"/>
        <w:rPr>
          <w:lang w:val="en-GB"/>
        </w:rPr>
      </w:pPr>
    </w:p>
    <w:p w:rsidR="000F7E70" w:rsidRPr="00627719" w:rsidRDefault="000F7E70" w:rsidP="000F7E70">
      <w:pPr>
        <w:autoSpaceDE w:val="0"/>
        <w:jc w:val="both"/>
        <w:rPr>
          <w:lang w:val="en-GB"/>
        </w:rPr>
      </w:pPr>
      <w:r w:rsidRPr="00627719">
        <w:rPr>
          <w:lang w:val="en-GB"/>
        </w:rPr>
        <w:t>Having considered the aforementioned complaint, introduced pursuant to Section 1.2 of UNMIK Regulation No. 2006/12 of 23 March 2006 on the establishment of the Human Rights Advisory Panel,</w:t>
      </w:r>
    </w:p>
    <w:p w:rsidR="000F7E70" w:rsidRPr="00627719" w:rsidRDefault="000F7E70" w:rsidP="000F7E70">
      <w:pPr>
        <w:autoSpaceDE w:val="0"/>
        <w:jc w:val="both"/>
        <w:rPr>
          <w:lang w:val="en-GB"/>
        </w:rPr>
      </w:pPr>
    </w:p>
    <w:p w:rsidR="00F379DF" w:rsidRPr="00627719" w:rsidRDefault="00F379DF" w:rsidP="000F7E70">
      <w:pPr>
        <w:autoSpaceDE w:val="0"/>
        <w:jc w:val="both"/>
        <w:rPr>
          <w:lang w:val="en-GB"/>
        </w:rPr>
      </w:pPr>
      <w:r w:rsidRPr="00627719">
        <w:rPr>
          <w:lang w:val="en-GB"/>
        </w:rPr>
        <w:t>Having deliberated</w:t>
      </w:r>
      <w:r w:rsidR="003064B6" w:rsidRPr="00627719">
        <w:rPr>
          <w:lang w:val="en-GB"/>
        </w:rPr>
        <w:t xml:space="preserve">, </w:t>
      </w:r>
      <w:r w:rsidRPr="00627719">
        <w:t xml:space="preserve">makes the following </w:t>
      </w:r>
      <w:r w:rsidR="002201E7" w:rsidRPr="00627719">
        <w:t>findings and recommendations</w:t>
      </w:r>
      <w:r w:rsidRPr="00627719">
        <w:rPr>
          <w:lang w:val="en-GB"/>
        </w:rPr>
        <w:t>:</w:t>
      </w:r>
    </w:p>
    <w:p w:rsidR="000F7E70" w:rsidRPr="00627719" w:rsidRDefault="000F7E70" w:rsidP="000F7E70">
      <w:pPr>
        <w:autoSpaceDE w:val="0"/>
        <w:jc w:val="both"/>
        <w:rPr>
          <w:lang w:val="en-GB"/>
        </w:rPr>
      </w:pPr>
    </w:p>
    <w:p w:rsidR="0016154E" w:rsidRPr="00627719" w:rsidRDefault="0016154E" w:rsidP="00EC64DD">
      <w:pPr>
        <w:tabs>
          <w:tab w:val="left" w:pos="360"/>
        </w:tabs>
        <w:autoSpaceDE w:val="0"/>
        <w:ind w:left="360" w:hanging="360"/>
        <w:jc w:val="both"/>
        <w:rPr>
          <w:lang w:val="en-GB"/>
        </w:rPr>
      </w:pPr>
    </w:p>
    <w:p w:rsidR="0016154E" w:rsidRPr="00627719" w:rsidRDefault="0016154E" w:rsidP="00EC64DD">
      <w:pPr>
        <w:numPr>
          <w:ilvl w:val="0"/>
          <w:numId w:val="2"/>
        </w:numPr>
        <w:tabs>
          <w:tab w:val="left" w:pos="360"/>
        </w:tabs>
        <w:suppressAutoHyphens/>
        <w:autoSpaceDE w:val="0"/>
        <w:ind w:left="360" w:hanging="360"/>
        <w:jc w:val="both"/>
        <w:rPr>
          <w:b/>
          <w:bCs/>
          <w:lang w:val="en-GB"/>
        </w:rPr>
      </w:pPr>
      <w:r w:rsidRPr="00627719">
        <w:rPr>
          <w:b/>
          <w:bCs/>
          <w:lang w:val="en-GB"/>
        </w:rPr>
        <w:t>PROCEEDINGS BEFORE THE PANEL</w:t>
      </w:r>
    </w:p>
    <w:p w:rsidR="0016154E" w:rsidRPr="00627719" w:rsidRDefault="0016154E" w:rsidP="00EC64DD">
      <w:pPr>
        <w:tabs>
          <w:tab w:val="left" w:pos="360"/>
        </w:tabs>
        <w:autoSpaceDE w:val="0"/>
        <w:ind w:left="360" w:hanging="360"/>
        <w:jc w:val="both"/>
        <w:rPr>
          <w:bCs/>
          <w:color w:val="000000"/>
          <w:lang w:val="en-GB"/>
        </w:rPr>
      </w:pPr>
    </w:p>
    <w:p w:rsidR="005F686D" w:rsidRPr="00627719" w:rsidRDefault="005F686D" w:rsidP="00EC64DD">
      <w:pPr>
        <w:pStyle w:val="Default"/>
        <w:numPr>
          <w:ilvl w:val="0"/>
          <w:numId w:val="5"/>
        </w:numPr>
        <w:tabs>
          <w:tab w:val="left" w:pos="360"/>
        </w:tabs>
        <w:ind w:left="360"/>
        <w:jc w:val="both"/>
        <w:rPr>
          <w:lang w:val="en-GB"/>
        </w:rPr>
      </w:pPr>
      <w:r w:rsidRPr="00627719">
        <w:rPr>
          <w:lang w:val="en-GB"/>
        </w:rPr>
        <w:t>The complaint was introduced on 1</w:t>
      </w:r>
      <w:r w:rsidR="00342A11" w:rsidRPr="00627719">
        <w:rPr>
          <w:lang w:val="en-GB"/>
        </w:rPr>
        <w:t>0</w:t>
      </w:r>
      <w:r w:rsidRPr="00627719">
        <w:rPr>
          <w:lang w:val="en-GB"/>
        </w:rPr>
        <w:t xml:space="preserve"> April 2009 and registered on </w:t>
      </w:r>
      <w:r w:rsidR="00342A11" w:rsidRPr="00627719">
        <w:rPr>
          <w:lang w:val="en-GB"/>
        </w:rPr>
        <w:t>30 April 2009</w:t>
      </w:r>
      <w:r w:rsidRPr="00627719">
        <w:rPr>
          <w:lang w:val="en-GB"/>
        </w:rPr>
        <w:t>.</w:t>
      </w:r>
    </w:p>
    <w:p w:rsidR="005F686D" w:rsidRPr="00627719" w:rsidRDefault="005F686D" w:rsidP="00EC64DD">
      <w:pPr>
        <w:pStyle w:val="Default"/>
        <w:tabs>
          <w:tab w:val="left" w:pos="360"/>
        </w:tabs>
        <w:ind w:left="360" w:hanging="360"/>
        <w:jc w:val="both"/>
        <w:rPr>
          <w:lang w:val="en-GB"/>
        </w:rPr>
      </w:pPr>
    </w:p>
    <w:p w:rsidR="005F686D" w:rsidRDefault="005F686D" w:rsidP="00EC64DD">
      <w:pPr>
        <w:pStyle w:val="Default"/>
        <w:numPr>
          <w:ilvl w:val="0"/>
          <w:numId w:val="5"/>
        </w:numPr>
        <w:tabs>
          <w:tab w:val="left" w:pos="360"/>
        </w:tabs>
        <w:ind w:left="360"/>
        <w:jc w:val="both"/>
        <w:rPr>
          <w:lang w:val="en-GB"/>
        </w:rPr>
      </w:pPr>
      <w:r w:rsidRPr="00627719">
        <w:rPr>
          <w:lang w:val="en-GB"/>
        </w:rPr>
        <w:t xml:space="preserve">On </w:t>
      </w:r>
      <w:r w:rsidR="00342A11" w:rsidRPr="00627719">
        <w:rPr>
          <w:lang w:val="en-GB"/>
        </w:rPr>
        <w:t xml:space="preserve">24 November </w:t>
      </w:r>
      <w:r w:rsidRPr="00627719">
        <w:rPr>
          <w:lang w:val="en-GB"/>
        </w:rPr>
        <w:t>20</w:t>
      </w:r>
      <w:r w:rsidR="00342A11" w:rsidRPr="00627719">
        <w:rPr>
          <w:lang w:val="en-GB"/>
        </w:rPr>
        <w:t>10</w:t>
      </w:r>
      <w:r w:rsidRPr="00627719">
        <w:rPr>
          <w:lang w:val="en-GB"/>
        </w:rPr>
        <w:t xml:space="preserve">, the Panel requested further information from the complainant. The complainant </w:t>
      </w:r>
      <w:r w:rsidR="00C8354E" w:rsidRPr="00627719">
        <w:rPr>
          <w:lang w:val="en-GB"/>
        </w:rPr>
        <w:t xml:space="preserve">responded on </w:t>
      </w:r>
      <w:r w:rsidR="00342A11" w:rsidRPr="00627719">
        <w:rPr>
          <w:lang w:val="en-GB"/>
        </w:rPr>
        <w:t>29</w:t>
      </w:r>
      <w:r w:rsidR="00C8354E" w:rsidRPr="00627719">
        <w:rPr>
          <w:lang w:val="en-GB"/>
        </w:rPr>
        <w:t xml:space="preserve"> </w:t>
      </w:r>
      <w:r w:rsidR="00342A11" w:rsidRPr="00627719">
        <w:rPr>
          <w:lang w:val="en-GB"/>
        </w:rPr>
        <w:t>Novem</w:t>
      </w:r>
      <w:r w:rsidR="00C8354E" w:rsidRPr="00627719">
        <w:rPr>
          <w:lang w:val="en-GB"/>
        </w:rPr>
        <w:t>ber 20</w:t>
      </w:r>
      <w:r w:rsidR="00342A11" w:rsidRPr="00627719">
        <w:rPr>
          <w:lang w:val="en-GB"/>
        </w:rPr>
        <w:t>10</w:t>
      </w:r>
      <w:r w:rsidR="00C8354E" w:rsidRPr="00627719">
        <w:rPr>
          <w:lang w:val="en-GB"/>
        </w:rPr>
        <w:t>.</w:t>
      </w:r>
    </w:p>
    <w:p w:rsidR="007E3485" w:rsidRDefault="007E3485" w:rsidP="007E3485">
      <w:pPr>
        <w:pStyle w:val="ListParagraph"/>
        <w:rPr>
          <w:lang w:val="en-GB"/>
        </w:rPr>
      </w:pPr>
    </w:p>
    <w:p w:rsidR="005F686D" w:rsidRPr="00627719" w:rsidRDefault="005F686D" w:rsidP="00EC64DD">
      <w:pPr>
        <w:pStyle w:val="Default"/>
        <w:numPr>
          <w:ilvl w:val="0"/>
          <w:numId w:val="5"/>
        </w:numPr>
        <w:tabs>
          <w:tab w:val="left" w:pos="360"/>
        </w:tabs>
        <w:ind w:left="360"/>
        <w:jc w:val="both"/>
        <w:rPr>
          <w:lang w:val="en-GB"/>
        </w:rPr>
      </w:pPr>
      <w:r w:rsidRPr="00627719">
        <w:rPr>
          <w:lang w:val="en-GB"/>
        </w:rPr>
        <w:t xml:space="preserve">On </w:t>
      </w:r>
      <w:r w:rsidR="00342A11" w:rsidRPr="00627719">
        <w:rPr>
          <w:lang w:val="en-GB"/>
        </w:rPr>
        <w:t>19 July</w:t>
      </w:r>
      <w:r w:rsidRPr="00627719">
        <w:rPr>
          <w:lang w:val="en-GB"/>
        </w:rPr>
        <w:t xml:space="preserve"> 20</w:t>
      </w:r>
      <w:r w:rsidR="00342A11" w:rsidRPr="00627719">
        <w:rPr>
          <w:lang w:val="en-GB"/>
        </w:rPr>
        <w:t>11</w:t>
      </w:r>
      <w:r w:rsidRPr="00627719">
        <w:rPr>
          <w:lang w:val="en-GB"/>
        </w:rPr>
        <w:t>, the Panel communicated the case to the Special Representative of the Secretary-General (SRSG)</w:t>
      </w:r>
      <w:r w:rsidR="00F3473D" w:rsidRPr="00627719">
        <w:rPr>
          <w:rStyle w:val="FootnoteReference"/>
          <w:lang w:val="en-GB"/>
        </w:rPr>
        <w:footnoteReference w:id="1"/>
      </w:r>
      <w:r w:rsidR="003064B6" w:rsidRPr="00627719">
        <w:rPr>
          <w:lang w:val="en-GB"/>
        </w:rPr>
        <w:t xml:space="preserve"> </w:t>
      </w:r>
      <w:r w:rsidRPr="00627719">
        <w:rPr>
          <w:lang w:val="en-GB"/>
        </w:rPr>
        <w:t xml:space="preserve">for UNMIK’s comments on </w:t>
      </w:r>
      <w:r w:rsidR="00342A11" w:rsidRPr="00627719">
        <w:rPr>
          <w:lang w:val="en-GB"/>
        </w:rPr>
        <w:t>its</w:t>
      </w:r>
      <w:r w:rsidRPr="00627719">
        <w:rPr>
          <w:lang w:val="en-GB"/>
        </w:rPr>
        <w:t xml:space="preserve"> admissibility.</w:t>
      </w:r>
      <w:r w:rsidR="00F87807" w:rsidRPr="00627719">
        <w:rPr>
          <w:lang w:val="en-GB"/>
        </w:rPr>
        <w:t xml:space="preserve">  </w:t>
      </w:r>
      <w:r w:rsidRPr="00627719">
        <w:rPr>
          <w:lang w:val="en-GB"/>
        </w:rPr>
        <w:t xml:space="preserve">On </w:t>
      </w:r>
      <w:r w:rsidR="00342A11" w:rsidRPr="00627719">
        <w:rPr>
          <w:lang w:val="en-GB"/>
        </w:rPr>
        <w:t>5</w:t>
      </w:r>
      <w:r w:rsidRPr="00627719">
        <w:rPr>
          <w:lang w:val="en-GB"/>
        </w:rPr>
        <w:t xml:space="preserve"> </w:t>
      </w:r>
      <w:r w:rsidR="00342A11" w:rsidRPr="00627719">
        <w:rPr>
          <w:lang w:val="en-GB"/>
        </w:rPr>
        <w:t>September</w:t>
      </w:r>
      <w:r w:rsidRPr="00627719">
        <w:rPr>
          <w:lang w:val="en-GB"/>
        </w:rPr>
        <w:t xml:space="preserve"> 201</w:t>
      </w:r>
      <w:r w:rsidR="00342A11" w:rsidRPr="00627719">
        <w:rPr>
          <w:lang w:val="en-GB"/>
        </w:rPr>
        <w:t>1</w:t>
      </w:r>
      <w:r w:rsidRPr="00627719">
        <w:rPr>
          <w:lang w:val="en-GB"/>
        </w:rPr>
        <w:t xml:space="preserve">, </w:t>
      </w:r>
      <w:r w:rsidR="002201E7" w:rsidRPr="00627719">
        <w:rPr>
          <w:lang w:val="en-GB"/>
        </w:rPr>
        <w:t>the SRSG</w:t>
      </w:r>
      <w:r w:rsidRPr="00627719">
        <w:rPr>
          <w:lang w:val="en-GB"/>
        </w:rPr>
        <w:t xml:space="preserve"> provided </w:t>
      </w:r>
      <w:r w:rsidR="002201E7" w:rsidRPr="00627719">
        <w:rPr>
          <w:lang w:val="en-GB"/>
        </w:rPr>
        <w:t>UNMIK’s</w:t>
      </w:r>
      <w:r w:rsidRPr="00627719">
        <w:rPr>
          <w:lang w:val="en-GB"/>
        </w:rPr>
        <w:t xml:space="preserve"> response</w:t>
      </w:r>
      <w:r w:rsidR="004234FA" w:rsidRPr="00627719">
        <w:rPr>
          <w:lang w:val="en-GB"/>
        </w:rPr>
        <w:t>.</w:t>
      </w:r>
    </w:p>
    <w:p w:rsidR="005F686D" w:rsidRPr="00627719" w:rsidRDefault="005F686D" w:rsidP="00EC64DD">
      <w:pPr>
        <w:pStyle w:val="Default"/>
        <w:tabs>
          <w:tab w:val="left" w:pos="360"/>
        </w:tabs>
        <w:ind w:left="360" w:hanging="360"/>
        <w:jc w:val="both"/>
        <w:rPr>
          <w:lang w:val="en-GB"/>
        </w:rPr>
      </w:pPr>
    </w:p>
    <w:p w:rsidR="0016154E" w:rsidRPr="00627719" w:rsidRDefault="0016154E" w:rsidP="00EC64DD">
      <w:pPr>
        <w:widowControl w:val="0"/>
        <w:numPr>
          <w:ilvl w:val="0"/>
          <w:numId w:val="5"/>
        </w:numPr>
        <w:tabs>
          <w:tab w:val="left" w:pos="360"/>
          <w:tab w:val="left" w:pos="1080"/>
        </w:tabs>
        <w:suppressAutoHyphens/>
        <w:ind w:left="360"/>
        <w:jc w:val="both"/>
        <w:rPr>
          <w:lang w:val="en-GB"/>
        </w:rPr>
      </w:pPr>
      <w:r w:rsidRPr="00627719">
        <w:rPr>
          <w:lang w:val="en-GB"/>
        </w:rPr>
        <w:t xml:space="preserve">On </w:t>
      </w:r>
      <w:r w:rsidR="00F87807" w:rsidRPr="00627719">
        <w:rPr>
          <w:lang w:val="en-GB"/>
        </w:rPr>
        <w:t>2</w:t>
      </w:r>
      <w:r w:rsidR="00342A11" w:rsidRPr="00627719">
        <w:rPr>
          <w:lang w:val="en-GB"/>
        </w:rPr>
        <w:t>2</w:t>
      </w:r>
      <w:r w:rsidR="00F87807" w:rsidRPr="00627719">
        <w:rPr>
          <w:lang w:val="en-GB"/>
        </w:rPr>
        <w:t xml:space="preserve"> October 201</w:t>
      </w:r>
      <w:r w:rsidR="00342A11" w:rsidRPr="00627719">
        <w:rPr>
          <w:lang w:val="en-GB"/>
        </w:rPr>
        <w:t>1</w:t>
      </w:r>
      <w:r w:rsidR="001852D9" w:rsidRPr="00627719">
        <w:rPr>
          <w:lang w:val="en-GB"/>
        </w:rPr>
        <w:t>,</w:t>
      </w:r>
      <w:r w:rsidR="00F87807" w:rsidRPr="00627719">
        <w:rPr>
          <w:lang w:val="en-GB"/>
        </w:rPr>
        <w:t xml:space="preserve"> </w:t>
      </w:r>
      <w:r w:rsidRPr="00627719">
        <w:rPr>
          <w:lang w:val="en-GB"/>
        </w:rPr>
        <w:t xml:space="preserve">the Panel declared the complaint </w:t>
      </w:r>
      <w:r w:rsidR="00342A11" w:rsidRPr="00627719">
        <w:rPr>
          <w:lang w:val="en-GB"/>
        </w:rPr>
        <w:t xml:space="preserve">partially </w:t>
      </w:r>
      <w:r w:rsidRPr="00627719">
        <w:rPr>
          <w:lang w:val="en-GB"/>
        </w:rPr>
        <w:t>admissible.</w:t>
      </w:r>
    </w:p>
    <w:p w:rsidR="0016154E" w:rsidRPr="00627719" w:rsidRDefault="0016154E" w:rsidP="00EC64DD">
      <w:pPr>
        <w:widowControl w:val="0"/>
        <w:tabs>
          <w:tab w:val="left" w:pos="360"/>
          <w:tab w:val="left" w:pos="1080"/>
        </w:tabs>
        <w:suppressAutoHyphens/>
        <w:ind w:left="360" w:hanging="360"/>
        <w:jc w:val="both"/>
        <w:rPr>
          <w:lang w:val="en-GB"/>
        </w:rPr>
      </w:pPr>
    </w:p>
    <w:p w:rsidR="00342A11" w:rsidRPr="00627719" w:rsidRDefault="00F87807" w:rsidP="00EC64DD">
      <w:pPr>
        <w:widowControl w:val="0"/>
        <w:numPr>
          <w:ilvl w:val="0"/>
          <w:numId w:val="5"/>
        </w:numPr>
        <w:tabs>
          <w:tab w:val="left" w:pos="360"/>
          <w:tab w:val="left" w:pos="1080"/>
        </w:tabs>
        <w:suppressAutoHyphens/>
        <w:ind w:left="360"/>
        <w:jc w:val="both"/>
        <w:rPr>
          <w:lang w:val="en-GB"/>
        </w:rPr>
      </w:pPr>
      <w:r w:rsidRPr="00627719">
        <w:rPr>
          <w:lang w:val="en-GB"/>
        </w:rPr>
        <w:t>On</w:t>
      </w:r>
      <w:r w:rsidR="0016154E" w:rsidRPr="00627719">
        <w:rPr>
          <w:lang w:val="en-GB"/>
        </w:rPr>
        <w:t xml:space="preserve"> </w:t>
      </w:r>
      <w:r w:rsidRPr="00627719">
        <w:rPr>
          <w:lang w:val="en-GB"/>
        </w:rPr>
        <w:t>2</w:t>
      </w:r>
      <w:r w:rsidR="00342A11" w:rsidRPr="00627719">
        <w:rPr>
          <w:lang w:val="en-GB"/>
        </w:rPr>
        <w:t>6</w:t>
      </w:r>
      <w:r w:rsidR="0016154E" w:rsidRPr="00627719">
        <w:rPr>
          <w:lang w:val="en-GB"/>
        </w:rPr>
        <w:t xml:space="preserve"> </w:t>
      </w:r>
      <w:r w:rsidRPr="00627719">
        <w:rPr>
          <w:lang w:val="en-GB"/>
        </w:rPr>
        <w:t xml:space="preserve">October </w:t>
      </w:r>
      <w:r w:rsidR="0016154E" w:rsidRPr="00627719">
        <w:rPr>
          <w:lang w:val="en-GB"/>
        </w:rPr>
        <w:t>201</w:t>
      </w:r>
      <w:r w:rsidR="00342A11" w:rsidRPr="00627719">
        <w:rPr>
          <w:lang w:val="en-GB"/>
        </w:rPr>
        <w:t>1</w:t>
      </w:r>
      <w:r w:rsidR="001852D9" w:rsidRPr="00627719">
        <w:rPr>
          <w:lang w:val="en-GB"/>
        </w:rPr>
        <w:t>,</w:t>
      </w:r>
      <w:r w:rsidR="0016154E" w:rsidRPr="00627719">
        <w:rPr>
          <w:lang w:val="en-GB"/>
        </w:rPr>
        <w:t xml:space="preserve"> the </w:t>
      </w:r>
      <w:r w:rsidRPr="00627719">
        <w:rPr>
          <w:lang w:val="en-GB"/>
        </w:rPr>
        <w:t xml:space="preserve">Panel </w:t>
      </w:r>
      <w:r w:rsidR="003A3E9C" w:rsidRPr="00627719">
        <w:rPr>
          <w:lang w:val="en-GB"/>
        </w:rPr>
        <w:t>forwarded</w:t>
      </w:r>
      <w:r w:rsidRPr="00627719">
        <w:rPr>
          <w:lang w:val="en-GB"/>
        </w:rPr>
        <w:t xml:space="preserve"> the decision on admissibility to the </w:t>
      </w:r>
      <w:r w:rsidR="0016154E" w:rsidRPr="00627719">
        <w:rPr>
          <w:lang w:val="en-GB"/>
        </w:rPr>
        <w:t>SRSG</w:t>
      </w:r>
      <w:r w:rsidRPr="00627719">
        <w:rPr>
          <w:lang w:val="en-GB"/>
        </w:rPr>
        <w:t xml:space="preserve">, inviting </w:t>
      </w:r>
      <w:r w:rsidR="001852D9" w:rsidRPr="00627719">
        <w:rPr>
          <w:lang w:val="en-GB"/>
        </w:rPr>
        <w:t>UNMIK’s observations o</w:t>
      </w:r>
      <w:r w:rsidRPr="00627719">
        <w:rPr>
          <w:lang w:val="en-GB"/>
        </w:rPr>
        <w:t>n the merits of the case</w:t>
      </w:r>
      <w:r w:rsidR="00342A11" w:rsidRPr="00627719">
        <w:rPr>
          <w:lang w:val="en-GB"/>
        </w:rPr>
        <w:t xml:space="preserve"> and requesting to be provided with copies of all </w:t>
      </w:r>
      <w:r w:rsidR="00342A11" w:rsidRPr="00627719">
        <w:t>investigative files relied upon by UNMIK in the preparation of its response.</w:t>
      </w:r>
    </w:p>
    <w:p w:rsidR="00342A11" w:rsidRPr="00627719" w:rsidRDefault="00342A11" w:rsidP="00342A11">
      <w:pPr>
        <w:pStyle w:val="ListParagraph"/>
        <w:rPr>
          <w:lang w:val="en-GB"/>
        </w:rPr>
      </w:pPr>
    </w:p>
    <w:p w:rsidR="002579EE" w:rsidRPr="00627719" w:rsidRDefault="009F2F33" w:rsidP="00EC64DD">
      <w:pPr>
        <w:widowControl w:val="0"/>
        <w:numPr>
          <w:ilvl w:val="0"/>
          <w:numId w:val="5"/>
        </w:numPr>
        <w:tabs>
          <w:tab w:val="left" w:pos="360"/>
          <w:tab w:val="left" w:pos="1080"/>
        </w:tabs>
        <w:suppressAutoHyphens/>
        <w:ind w:left="360"/>
        <w:jc w:val="both"/>
        <w:rPr>
          <w:lang w:val="en-GB"/>
        </w:rPr>
      </w:pPr>
      <w:r w:rsidRPr="00627719">
        <w:rPr>
          <w:lang w:val="en-GB"/>
        </w:rPr>
        <w:t>On</w:t>
      </w:r>
      <w:r w:rsidR="0016154E" w:rsidRPr="00627719">
        <w:rPr>
          <w:lang w:val="en-GB"/>
        </w:rPr>
        <w:t xml:space="preserve"> </w:t>
      </w:r>
      <w:r w:rsidR="00342A11" w:rsidRPr="00627719">
        <w:rPr>
          <w:lang w:val="en-GB"/>
        </w:rPr>
        <w:t xml:space="preserve">14 May </w:t>
      </w:r>
      <w:r w:rsidR="0016154E" w:rsidRPr="00627719">
        <w:rPr>
          <w:lang w:val="en-GB"/>
        </w:rPr>
        <w:t>201</w:t>
      </w:r>
      <w:r w:rsidR="00342A11" w:rsidRPr="00627719">
        <w:rPr>
          <w:lang w:val="en-GB"/>
        </w:rPr>
        <w:t>2</w:t>
      </w:r>
      <w:r w:rsidRPr="00627719">
        <w:rPr>
          <w:lang w:val="en-GB"/>
        </w:rPr>
        <w:t>, the SRSG provided UNMIK’s response</w:t>
      </w:r>
      <w:r w:rsidR="00342A11" w:rsidRPr="00627719">
        <w:rPr>
          <w:lang w:val="en-GB"/>
        </w:rPr>
        <w:t xml:space="preserve">, </w:t>
      </w:r>
      <w:r w:rsidR="00B91501" w:rsidRPr="00627719">
        <w:rPr>
          <w:lang w:val="en-GB"/>
        </w:rPr>
        <w:t>and</w:t>
      </w:r>
      <w:r w:rsidR="00342A11" w:rsidRPr="00627719">
        <w:rPr>
          <w:lang w:val="en-GB"/>
        </w:rPr>
        <w:t xml:space="preserve"> inform</w:t>
      </w:r>
      <w:r w:rsidR="00B91501" w:rsidRPr="00627719">
        <w:rPr>
          <w:lang w:val="en-GB"/>
        </w:rPr>
        <w:t>ed</w:t>
      </w:r>
      <w:r w:rsidR="00342A11" w:rsidRPr="00627719">
        <w:rPr>
          <w:lang w:val="en-GB"/>
        </w:rPr>
        <w:t xml:space="preserve"> the Panel that no files have been located.</w:t>
      </w:r>
    </w:p>
    <w:p w:rsidR="007C65E0" w:rsidRPr="00627719" w:rsidRDefault="007C65E0" w:rsidP="00EC64DD">
      <w:pPr>
        <w:pStyle w:val="ListParagraph"/>
        <w:tabs>
          <w:tab w:val="left" w:pos="360"/>
        </w:tabs>
        <w:ind w:left="360" w:hanging="360"/>
        <w:rPr>
          <w:lang w:val="en-GB"/>
        </w:rPr>
      </w:pPr>
    </w:p>
    <w:p w:rsidR="00E94F63" w:rsidRPr="00627719" w:rsidRDefault="008C4164" w:rsidP="00E94F63">
      <w:pPr>
        <w:widowControl w:val="0"/>
        <w:numPr>
          <w:ilvl w:val="0"/>
          <w:numId w:val="5"/>
        </w:numPr>
        <w:tabs>
          <w:tab w:val="clear" w:pos="810"/>
          <w:tab w:val="left" w:pos="360"/>
          <w:tab w:val="num" w:pos="630"/>
          <w:tab w:val="left" w:pos="1080"/>
        </w:tabs>
        <w:suppressAutoHyphens/>
        <w:ind w:left="360"/>
        <w:jc w:val="both"/>
        <w:rPr>
          <w:lang w:val="en-GB"/>
        </w:rPr>
      </w:pPr>
      <w:r w:rsidRPr="00627719">
        <w:rPr>
          <w:lang w:val="en-GB"/>
        </w:rPr>
        <w:t>Upon</w:t>
      </w:r>
      <w:r w:rsidR="003064B6" w:rsidRPr="00627719">
        <w:rPr>
          <w:lang w:val="en-GB"/>
        </w:rPr>
        <w:t xml:space="preserve"> the</w:t>
      </w:r>
      <w:r w:rsidRPr="00627719">
        <w:rPr>
          <w:lang w:val="en-GB"/>
        </w:rPr>
        <w:t xml:space="preserve"> Panel’s request, on </w:t>
      </w:r>
      <w:r w:rsidR="007D524B" w:rsidRPr="00627719">
        <w:rPr>
          <w:lang w:val="en-GB"/>
        </w:rPr>
        <w:t>26</w:t>
      </w:r>
      <w:r w:rsidR="00E94F63" w:rsidRPr="00627719">
        <w:rPr>
          <w:lang w:val="en-GB"/>
        </w:rPr>
        <w:t xml:space="preserve"> </w:t>
      </w:r>
      <w:r w:rsidRPr="00627719">
        <w:rPr>
          <w:lang w:val="en-GB"/>
        </w:rPr>
        <w:t xml:space="preserve">February </w:t>
      </w:r>
      <w:r w:rsidR="00E94F63" w:rsidRPr="00627719">
        <w:rPr>
          <w:lang w:val="en-GB"/>
        </w:rPr>
        <w:t>201</w:t>
      </w:r>
      <w:r w:rsidRPr="00627719">
        <w:rPr>
          <w:lang w:val="en-GB"/>
        </w:rPr>
        <w:t>3</w:t>
      </w:r>
      <w:r w:rsidR="00E94F63" w:rsidRPr="00627719">
        <w:rPr>
          <w:lang w:val="en-GB"/>
        </w:rPr>
        <w:t xml:space="preserve">, UNMIK confirmed </w:t>
      </w:r>
      <w:r w:rsidR="00CA0680" w:rsidRPr="00627719">
        <w:rPr>
          <w:lang w:val="en-GB"/>
        </w:rPr>
        <w:t>that no investigative files have been located</w:t>
      </w:r>
      <w:r w:rsidR="00E94F63" w:rsidRPr="00627719">
        <w:rPr>
          <w:lang w:val="en-GB"/>
        </w:rPr>
        <w:t>.</w:t>
      </w:r>
    </w:p>
    <w:p w:rsidR="000D21A8" w:rsidRPr="00627719" w:rsidRDefault="000D21A8" w:rsidP="00EC64DD">
      <w:pPr>
        <w:pStyle w:val="ListParagraph"/>
        <w:tabs>
          <w:tab w:val="left" w:pos="360"/>
        </w:tabs>
        <w:ind w:left="360" w:hanging="360"/>
        <w:rPr>
          <w:lang w:val="en-GB"/>
        </w:rPr>
      </w:pPr>
    </w:p>
    <w:p w:rsidR="003064B6" w:rsidRPr="00627719" w:rsidRDefault="003064B6" w:rsidP="00EC64DD">
      <w:pPr>
        <w:pStyle w:val="ListParagraph"/>
        <w:tabs>
          <w:tab w:val="left" w:pos="360"/>
        </w:tabs>
        <w:ind w:left="360" w:hanging="360"/>
        <w:rPr>
          <w:lang w:val="en-GB"/>
        </w:rPr>
      </w:pPr>
    </w:p>
    <w:p w:rsidR="007C65E0" w:rsidRPr="00627719" w:rsidRDefault="007C65E0" w:rsidP="00EC64DD">
      <w:pPr>
        <w:numPr>
          <w:ilvl w:val="0"/>
          <w:numId w:val="2"/>
        </w:numPr>
        <w:tabs>
          <w:tab w:val="left" w:pos="360"/>
        </w:tabs>
        <w:suppressAutoHyphens/>
        <w:autoSpaceDE w:val="0"/>
        <w:ind w:left="360" w:hanging="360"/>
        <w:jc w:val="both"/>
        <w:rPr>
          <w:b/>
          <w:bCs/>
          <w:lang w:val="en-GB"/>
        </w:rPr>
      </w:pPr>
      <w:r w:rsidRPr="00627719">
        <w:rPr>
          <w:b/>
          <w:bCs/>
          <w:lang w:val="en-GB"/>
        </w:rPr>
        <w:t>THE FACTS</w:t>
      </w:r>
    </w:p>
    <w:p w:rsidR="005B71F4" w:rsidRPr="00627719" w:rsidRDefault="005B71F4" w:rsidP="00EC64DD">
      <w:pPr>
        <w:tabs>
          <w:tab w:val="left" w:pos="360"/>
        </w:tabs>
        <w:autoSpaceDE w:val="0"/>
        <w:ind w:left="360" w:hanging="360"/>
        <w:jc w:val="both"/>
        <w:rPr>
          <w:b/>
          <w:bCs/>
        </w:rPr>
      </w:pPr>
    </w:p>
    <w:p w:rsidR="005B71F4" w:rsidRPr="00627719" w:rsidRDefault="005B71F4" w:rsidP="00EC64DD">
      <w:pPr>
        <w:numPr>
          <w:ilvl w:val="0"/>
          <w:numId w:val="15"/>
        </w:numPr>
        <w:tabs>
          <w:tab w:val="left" w:pos="360"/>
        </w:tabs>
        <w:contextualSpacing/>
        <w:jc w:val="both"/>
        <w:rPr>
          <w:b/>
          <w:lang w:val="en-GB"/>
        </w:rPr>
      </w:pPr>
      <w:r w:rsidRPr="00627719">
        <w:rPr>
          <w:b/>
          <w:lang w:val="en-GB"/>
        </w:rPr>
        <w:t>General background</w:t>
      </w:r>
      <w:r w:rsidRPr="00627719">
        <w:rPr>
          <w:rStyle w:val="FootnoteReference"/>
          <w:b/>
          <w:lang w:val="en-GB"/>
        </w:rPr>
        <w:footnoteReference w:id="2"/>
      </w:r>
    </w:p>
    <w:p w:rsidR="005B71F4" w:rsidRPr="00627719" w:rsidRDefault="005B71F4" w:rsidP="00EC64DD">
      <w:pPr>
        <w:tabs>
          <w:tab w:val="left" w:pos="360"/>
        </w:tabs>
        <w:ind w:left="360" w:hanging="360"/>
        <w:contextualSpacing/>
        <w:jc w:val="both"/>
        <w:rPr>
          <w:b/>
          <w:lang w:val="en-GB"/>
        </w:rPr>
      </w:pPr>
    </w:p>
    <w:p w:rsidR="005B71F4" w:rsidRPr="00627719" w:rsidRDefault="005B71F4" w:rsidP="00EC64DD">
      <w:pPr>
        <w:widowControl w:val="0"/>
        <w:numPr>
          <w:ilvl w:val="0"/>
          <w:numId w:val="5"/>
        </w:numPr>
        <w:tabs>
          <w:tab w:val="left" w:pos="360"/>
          <w:tab w:val="left" w:pos="1080"/>
        </w:tabs>
        <w:suppressAutoHyphens/>
        <w:ind w:left="360"/>
        <w:jc w:val="both"/>
        <w:rPr>
          <w:lang w:val="en-GB"/>
        </w:rPr>
      </w:pPr>
      <w:r w:rsidRPr="00627719">
        <w:rPr>
          <w:lang w:val="en-GB"/>
        </w:rPr>
        <w:t>The events at issue took place in the territory of Kosovo after the establishment of the United Nations Interim Administration Mission i</w:t>
      </w:r>
      <w:r w:rsidR="003064B6" w:rsidRPr="00627719">
        <w:rPr>
          <w:lang w:val="en-GB"/>
        </w:rPr>
        <w:t>n Kosovo (UNMIK), in June 1999.</w:t>
      </w:r>
    </w:p>
    <w:p w:rsidR="005B71F4" w:rsidRPr="00627719" w:rsidRDefault="005B71F4" w:rsidP="00EC64DD">
      <w:pPr>
        <w:tabs>
          <w:tab w:val="left" w:pos="360"/>
        </w:tabs>
        <w:ind w:left="360" w:hanging="360"/>
        <w:jc w:val="both"/>
        <w:rPr>
          <w:lang w:val="en-GB"/>
        </w:rPr>
      </w:pPr>
    </w:p>
    <w:p w:rsidR="005B71F4" w:rsidRPr="007E3485" w:rsidRDefault="005B71F4" w:rsidP="009E7983">
      <w:pPr>
        <w:widowControl w:val="0"/>
        <w:numPr>
          <w:ilvl w:val="0"/>
          <w:numId w:val="5"/>
        </w:numPr>
        <w:tabs>
          <w:tab w:val="left" w:pos="360"/>
          <w:tab w:val="left" w:pos="1080"/>
        </w:tabs>
        <w:suppressAutoHyphens/>
        <w:ind w:left="360"/>
        <w:jc w:val="both"/>
        <w:rPr>
          <w:lang w:val="en-GB"/>
        </w:rPr>
      </w:pPr>
      <w:r w:rsidRPr="007E3485">
        <w:rPr>
          <w:lang w:val="en-GB"/>
        </w:rPr>
        <w:t>The armed conflict during 1998 and 1999 between the Serbian forces on one side and the Kosovo Liberation Army (KLA) and other Kosovo Albanian armed groups on the</w:t>
      </w:r>
      <w:r w:rsidR="009E7983" w:rsidRPr="007E3485">
        <w:rPr>
          <w:lang w:val="en-GB"/>
        </w:rPr>
        <w:t xml:space="preserve"> </w:t>
      </w:r>
      <w:r w:rsidRPr="007E3485">
        <w:rPr>
          <w:lang w:val="en-GB"/>
        </w:rPr>
        <w:t xml:space="preserve">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t>
      </w:r>
      <w:r w:rsidR="009E7983" w:rsidRPr="007E3485">
        <w:rPr>
          <w:lang w:val="en-GB"/>
        </w:rPr>
        <w:t>withdrawal from Kosovo and the presence of an international security force following</w:t>
      </w:r>
      <w:r w:rsidR="007E3485">
        <w:rPr>
          <w:lang w:val="en-GB"/>
        </w:rPr>
        <w:t xml:space="preserve"> </w:t>
      </w:r>
      <w:r w:rsidRPr="007E3485">
        <w:rPr>
          <w:lang w:val="en-GB"/>
        </w:rPr>
        <w:t>an appropriate UN Security Council Resolution.</w:t>
      </w:r>
    </w:p>
    <w:p w:rsidR="005B71F4" w:rsidRPr="00627719" w:rsidRDefault="005B71F4" w:rsidP="00EC64DD">
      <w:pPr>
        <w:tabs>
          <w:tab w:val="left" w:pos="360"/>
        </w:tabs>
        <w:ind w:left="360" w:hanging="360"/>
        <w:jc w:val="both"/>
        <w:rPr>
          <w:lang w:val="en-GB"/>
        </w:rPr>
      </w:pPr>
    </w:p>
    <w:p w:rsidR="005B71F4" w:rsidRPr="00627719" w:rsidRDefault="005B71F4" w:rsidP="00EC64DD">
      <w:pPr>
        <w:pStyle w:val="ListParagraph"/>
        <w:numPr>
          <w:ilvl w:val="0"/>
          <w:numId w:val="5"/>
        </w:numPr>
        <w:tabs>
          <w:tab w:val="left" w:pos="360"/>
        </w:tabs>
        <w:suppressAutoHyphens w:val="0"/>
        <w:ind w:left="360"/>
        <w:contextualSpacing/>
        <w:jc w:val="both"/>
        <w:rPr>
          <w:lang w:val="en-GB"/>
        </w:rPr>
      </w:pPr>
      <w:r w:rsidRPr="00627719">
        <w:rPr>
          <w:lang w:val="en-GB"/>
        </w:rPr>
        <w:t xml:space="preserve"> 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w:t>
      </w:r>
      <w:r w:rsidR="00C81172" w:rsidRPr="00627719">
        <w:rPr>
          <w:lang w:val="en-GB"/>
        </w:rPr>
        <w:t>ity Council Resolution No. 1244 (</w:t>
      </w:r>
      <w:r w:rsidRPr="00627719">
        <w:rPr>
          <w:lang w:val="en-GB"/>
        </w:rPr>
        <w:t>1999</w:t>
      </w:r>
      <w:r w:rsidR="00C81172" w:rsidRPr="00627719">
        <w:rPr>
          <w:lang w:val="en-GB"/>
        </w:rPr>
        <w:t>)</w:t>
      </w:r>
      <w:r w:rsidRPr="00627719">
        <w:rPr>
          <w:lang w:val="en-GB"/>
        </w:rPr>
        <w:t>,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5B71F4" w:rsidRPr="00627719" w:rsidRDefault="005B71F4" w:rsidP="00EC64DD">
      <w:pPr>
        <w:tabs>
          <w:tab w:val="left" w:pos="360"/>
        </w:tabs>
        <w:ind w:left="360" w:hanging="360"/>
        <w:jc w:val="both"/>
        <w:rPr>
          <w:lang w:val="en-GB"/>
        </w:rPr>
      </w:pPr>
    </w:p>
    <w:p w:rsidR="005B71F4" w:rsidRPr="00627719" w:rsidRDefault="005B71F4" w:rsidP="00EC64DD">
      <w:pPr>
        <w:pStyle w:val="ListParagraph"/>
        <w:numPr>
          <w:ilvl w:val="0"/>
          <w:numId w:val="5"/>
        </w:numPr>
        <w:tabs>
          <w:tab w:val="left" w:pos="360"/>
        </w:tabs>
        <w:suppressAutoHyphens w:val="0"/>
        <w:ind w:left="360"/>
        <w:contextualSpacing/>
        <w:jc w:val="both"/>
        <w:rPr>
          <w:lang w:val="en-GB"/>
        </w:rPr>
      </w:pPr>
      <w:r w:rsidRPr="00627719">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5B71F4" w:rsidRPr="00627719" w:rsidRDefault="005B71F4" w:rsidP="00EC64DD">
      <w:pPr>
        <w:pStyle w:val="ListParagraph"/>
        <w:tabs>
          <w:tab w:val="left" w:pos="360"/>
        </w:tabs>
        <w:ind w:left="360" w:hanging="360"/>
        <w:rPr>
          <w:lang w:val="en-GB"/>
        </w:rPr>
      </w:pPr>
    </w:p>
    <w:p w:rsidR="005B71F4" w:rsidRPr="00627719" w:rsidRDefault="005B71F4" w:rsidP="00EC64DD">
      <w:pPr>
        <w:pStyle w:val="ListParagraph"/>
        <w:numPr>
          <w:ilvl w:val="0"/>
          <w:numId w:val="5"/>
        </w:numPr>
        <w:tabs>
          <w:tab w:val="left" w:pos="360"/>
        </w:tabs>
        <w:suppressAutoHyphens w:val="0"/>
        <w:ind w:left="360"/>
        <w:contextualSpacing/>
        <w:jc w:val="both"/>
        <w:rPr>
          <w:lang w:val="en-GB"/>
        </w:rPr>
      </w:pPr>
      <w:r w:rsidRPr="00627719">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5B71F4" w:rsidRPr="00627719" w:rsidRDefault="005B71F4" w:rsidP="00EC64DD">
      <w:pPr>
        <w:pStyle w:val="ListParagraph"/>
        <w:tabs>
          <w:tab w:val="left" w:pos="360"/>
        </w:tabs>
        <w:ind w:left="360" w:hanging="360"/>
        <w:rPr>
          <w:lang w:val="en-GB"/>
        </w:rPr>
      </w:pPr>
    </w:p>
    <w:p w:rsidR="005B71F4" w:rsidRPr="00627719" w:rsidRDefault="005B71F4" w:rsidP="00EC64DD">
      <w:pPr>
        <w:pStyle w:val="ListParagraph"/>
        <w:numPr>
          <w:ilvl w:val="0"/>
          <w:numId w:val="5"/>
        </w:numPr>
        <w:tabs>
          <w:tab w:val="left" w:pos="360"/>
        </w:tabs>
        <w:suppressAutoHyphens w:val="0"/>
        <w:ind w:left="360"/>
        <w:contextualSpacing/>
        <w:jc w:val="both"/>
        <w:rPr>
          <w:lang w:val="en-GB"/>
        </w:rPr>
      </w:pPr>
      <w:r w:rsidRPr="00627719">
        <w:rPr>
          <w:lang w:val="en-GB"/>
        </w:rPr>
        <w:t xml:space="preserve">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w:t>
      </w:r>
      <w:r w:rsidR="006C7219" w:rsidRPr="00627719">
        <w:rPr>
          <w:lang w:val="en-GB"/>
        </w:rPr>
        <w:t xml:space="preserve">International Committee </w:t>
      </w:r>
      <w:r w:rsidR="006C7219" w:rsidRPr="00627719">
        <w:t>of the Red Cross</w:t>
      </w:r>
      <w:r w:rsidR="006C7219" w:rsidRPr="00627719">
        <w:rPr>
          <w:lang w:val="en-GB"/>
        </w:rPr>
        <w:t xml:space="preserve"> (</w:t>
      </w:r>
      <w:r w:rsidRPr="00627719">
        <w:rPr>
          <w:lang w:val="en-GB"/>
        </w:rPr>
        <w:t>ICRC</w:t>
      </w:r>
      <w:r w:rsidR="006C7219" w:rsidRPr="00627719">
        <w:rPr>
          <w:lang w:val="en-GB"/>
        </w:rPr>
        <w:t>)</w:t>
      </w:r>
      <w:r w:rsidRPr="00627719">
        <w:rPr>
          <w:lang w:val="en-GB"/>
        </w:rPr>
        <w:t xml:space="preserve"> as of October 2012.</w:t>
      </w:r>
    </w:p>
    <w:p w:rsidR="005B71F4" w:rsidRPr="00627719" w:rsidRDefault="005B71F4" w:rsidP="00EC64DD">
      <w:pPr>
        <w:tabs>
          <w:tab w:val="left" w:pos="360"/>
        </w:tabs>
        <w:ind w:left="360" w:hanging="360"/>
        <w:jc w:val="both"/>
        <w:rPr>
          <w:lang w:val="en-GB"/>
        </w:rPr>
      </w:pPr>
    </w:p>
    <w:p w:rsidR="005B71F4" w:rsidRPr="00627719" w:rsidRDefault="005B71F4" w:rsidP="00EC64DD">
      <w:pPr>
        <w:numPr>
          <w:ilvl w:val="0"/>
          <w:numId w:val="5"/>
        </w:numPr>
        <w:tabs>
          <w:tab w:val="left" w:pos="360"/>
        </w:tabs>
        <w:ind w:left="360"/>
        <w:jc w:val="both"/>
        <w:rPr>
          <w:lang w:val="en-GB"/>
        </w:rPr>
      </w:pPr>
      <w:r w:rsidRPr="00627719">
        <w:rPr>
          <w:lang w:val="en-GB"/>
        </w:rPr>
        <w:t>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w:t>
      </w:r>
      <w:r w:rsidR="006906A3" w:rsidRPr="00627719">
        <w:t xml:space="preserve"> By September 1999, approximately 1,100 international police officers had been deployed to UNMIK.  </w:t>
      </w:r>
    </w:p>
    <w:p w:rsidR="005B71F4" w:rsidRPr="00627719" w:rsidRDefault="005B71F4" w:rsidP="00EC64DD">
      <w:pPr>
        <w:pStyle w:val="ListParagraph"/>
        <w:tabs>
          <w:tab w:val="left" w:pos="360"/>
        </w:tabs>
        <w:ind w:left="360" w:hanging="360"/>
        <w:rPr>
          <w:lang w:val="en-GB"/>
        </w:rPr>
      </w:pPr>
    </w:p>
    <w:p w:rsidR="005B71F4" w:rsidRPr="00627719" w:rsidRDefault="005B71F4" w:rsidP="00EC64DD">
      <w:pPr>
        <w:numPr>
          <w:ilvl w:val="0"/>
          <w:numId w:val="5"/>
        </w:numPr>
        <w:tabs>
          <w:tab w:val="left" w:pos="360"/>
        </w:tabs>
        <w:ind w:left="360"/>
        <w:jc w:val="both"/>
        <w:rPr>
          <w:lang w:val="en-GB"/>
        </w:rPr>
      </w:pPr>
      <w:bookmarkStart w:id="0" w:name="_Ref346725038"/>
      <w:r w:rsidRPr="00627719">
        <w:rPr>
          <w:lang w:val="en-GB"/>
        </w:rPr>
        <w:t xml:space="preserve">By December 2000, the deployment of UNMIK Police was almost complete with 4,400 personnel from 53 different countries, and UNMIK had assumed primacy in law enforcement responsibility in all regions of Kosovo except for Mitrovicë/Mitrovica. According to the </w:t>
      </w:r>
      <w:r w:rsidR="00C81172" w:rsidRPr="00627719">
        <w:rPr>
          <w:lang w:val="en-GB"/>
        </w:rPr>
        <w:t>2000</w:t>
      </w:r>
      <w:r w:rsidRPr="00627719">
        <w:rPr>
          <w:lang w:val="en-GB"/>
        </w:rPr>
        <w:t xml:space="preserve"> Annual Report of UNMIK Police, 351 kidnappings, 675 murders and 115 rapes had been reported to them in the period between June 1999 and December 2000.</w:t>
      </w:r>
      <w:bookmarkEnd w:id="0"/>
      <w:r w:rsidRPr="00627719">
        <w:rPr>
          <w:lang w:val="en-GB"/>
        </w:rPr>
        <w:t xml:space="preserve"> </w:t>
      </w:r>
    </w:p>
    <w:p w:rsidR="005B71F4" w:rsidRPr="00627719" w:rsidRDefault="005B71F4" w:rsidP="00EC64DD">
      <w:pPr>
        <w:tabs>
          <w:tab w:val="left" w:pos="360"/>
        </w:tabs>
        <w:ind w:left="360" w:hanging="360"/>
        <w:jc w:val="both"/>
        <w:rPr>
          <w:lang w:val="en-GB"/>
        </w:rPr>
      </w:pPr>
    </w:p>
    <w:p w:rsidR="005B71F4" w:rsidRPr="00627719" w:rsidRDefault="005B71F4" w:rsidP="00EC64DD">
      <w:pPr>
        <w:numPr>
          <w:ilvl w:val="0"/>
          <w:numId w:val="5"/>
        </w:numPr>
        <w:tabs>
          <w:tab w:val="left" w:pos="360"/>
        </w:tabs>
        <w:ind w:left="360"/>
        <w:jc w:val="both"/>
        <w:rPr>
          <w:lang w:val="en-GB"/>
        </w:rPr>
      </w:pPr>
      <w:bookmarkStart w:id="1" w:name="_Ref346123767"/>
      <w:r w:rsidRPr="00627719">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1"/>
      <w:r w:rsidRPr="00627719">
        <w:rPr>
          <w:lang w:val="en-GB"/>
        </w:rPr>
        <w:t xml:space="preserve"> </w:t>
      </w:r>
    </w:p>
    <w:p w:rsidR="005B71F4" w:rsidRPr="00627719" w:rsidRDefault="005B71F4" w:rsidP="00EC64DD">
      <w:pPr>
        <w:tabs>
          <w:tab w:val="left" w:pos="360"/>
        </w:tabs>
        <w:ind w:left="360" w:hanging="360"/>
        <w:jc w:val="both"/>
        <w:rPr>
          <w:lang w:val="en-GB"/>
        </w:rPr>
      </w:pPr>
    </w:p>
    <w:p w:rsidR="005B71F4" w:rsidRPr="00627719" w:rsidRDefault="005B71F4" w:rsidP="00EC64DD">
      <w:pPr>
        <w:numPr>
          <w:ilvl w:val="0"/>
          <w:numId w:val="5"/>
        </w:numPr>
        <w:tabs>
          <w:tab w:val="left" w:pos="360"/>
        </w:tabs>
        <w:ind w:left="360"/>
        <w:jc w:val="both"/>
        <w:rPr>
          <w:lang w:val="en-GB"/>
        </w:rPr>
      </w:pPr>
      <w:bookmarkStart w:id="2" w:name="_Ref346725040"/>
      <w:r w:rsidRPr="00627719">
        <w:rPr>
          <w:lang w:val="en-GB"/>
        </w:rPr>
        <w:t>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persons cases in Kosovo. In May 2000, a Victim Recovery and Identification Commission (VRIC) chaired by UNMIK was created for the recovery, identification and disposition of mortal remains. As of June 2002, the newly established Office on Missing Persons and Forensics (OMPF) in the UNMIK Department of Justice (DOJ) became the sole authority mandated to determine the whereabouts of missing persons,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2"/>
      <w:r w:rsidRPr="00627719">
        <w:rPr>
          <w:lang w:val="en-GB"/>
        </w:rPr>
        <w:t xml:space="preserve"> </w:t>
      </w:r>
    </w:p>
    <w:p w:rsidR="005B71F4" w:rsidRPr="00627719" w:rsidRDefault="005B71F4" w:rsidP="00EC64DD">
      <w:pPr>
        <w:tabs>
          <w:tab w:val="left" w:pos="360"/>
        </w:tabs>
        <w:ind w:left="360" w:hanging="360"/>
        <w:jc w:val="both"/>
        <w:rPr>
          <w:lang w:val="en-GB"/>
        </w:rPr>
      </w:pPr>
    </w:p>
    <w:p w:rsidR="005B71F4" w:rsidRPr="00627719" w:rsidRDefault="005B71F4" w:rsidP="00EC64DD">
      <w:pPr>
        <w:numPr>
          <w:ilvl w:val="0"/>
          <w:numId w:val="5"/>
        </w:numPr>
        <w:tabs>
          <w:tab w:val="left" w:pos="360"/>
        </w:tabs>
        <w:ind w:left="360"/>
        <w:jc w:val="both"/>
        <w:rPr>
          <w:lang w:val="en-GB"/>
        </w:rPr>
      </w:pPr>
      <w:bookmarkStart w:id="3" w:name="_Ref346123927"/>
      <w:r w:rsidRPr="00627719">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End w:id="3"/>
    </w:p>
    <w:p w:rsidR="005B71F4" w:rsidRPr="00627719" w:rsidRDefault="005B71F4" w:rsidP="00EC64DD">
      <w:pPr>
        <w:pStyle w:val="ListParagraph"/>
        <w:tabs>
          <w:tab w:val="left" w:pos="360"/>
        </w:tabs>
        <w:ind w:left="360" w:hanging="360"/>
        <w:rPr>
          <w:lang w:val="en-GB"/>
        </w:rPr>
      </w:pPr>
    </w:p>
    <w:p w:rsidR="005B71F4" w:rsidRPr="00627719" w:rsidRDefault="005B71F4" w:rsidP="00EC64DD">
      <w:pPr>
        <w:numPr>
          <w:ilvl w:val="0"/>
          <w:numId w:val="5"/>
        </w:numPr>
        <w:tabs>
          <w:tab w:val="left" w:pos="360"/>
        </w:tabs>
        <w:ind w:left="360"/>
        <w:jc w:val="both"/>
        <w:rPr>
          <w:lang w:val="en-GB"/>
        </w:rPr>
      </w:pPr>
      <w:bookmarkStart w:id="4" w:name="_Ref346123928"/>
      <w:r w:rsidRPr="00627719">
        <w:rPr>
          <w:lang w:val="en-GB"/>
        </w:rPr>
        <w:t>On the same date, UNMIK and EULEX signed a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handed over to EULEX.</w:t>
      </w:r>
      <w:bookmarkEnd w:id="4"/>
    </w:p>
    <w:p w:rsidR="00D65E11" w:rsidRPr="00627719" w:rsidRDefault="00D65E11" w:rsidP="00EC64DD">
      <w:pPr>
        <w:widowControl w:val="0"/>
        <w:tabs>
          <w:tab w:val="left" w:pos="360"/>
          <w:tab w:val="left" w:pos="1080"/>
        </w:tabs>
        <w:suppressAutoHyphens/>
        <w:ind w:left="360" w:hanging="360"/>
        <w:jc w:val="both"/>
        <w:rPr>
          <w:lang w:val="en-GB"/>
        </w:rPr>
      </w:pPr>
    </w:p>
    <w:p w:rsidR="00D65E11" w:rsidRPr="00627719" w:rsidRDefault="00D65E11" w:rsidP="00EC64DD">
      <w:pPr>
        <w:numPr>
          <w:ilvl w:val="0"/>
          <w:numId w:val="15"/>
        </w:numPr>
        <w:tabs>
          <w:tab w:val="left" w:pos="360"/>
        </w:tabs>
        <w:contextualSpacing/>
        <w:jc w:val="both"/>
        <w:rPr>
          <w:b/>
        </w:rPr>
      </w:pPr>
      <w:r w:rsidRPr="00627719">
        <w:rPr>
          <w:b/>
        </w:rPr>
        <w:t xml:space="preserve">Circumstances surrounding </w:t>
      </w:r>
      <w:r w:rsidRPr="00627719">
        <w:rPr>
          <w:b/>
          <w:color w:val="000000"/>
        </w:rPr>
        <w:t xml:space="preserve">the </w:t>
      </w:r>
      <w:r w:rsidR="00060347" w:rsidRPr="00627719">
        <w:rPr>
          <w:b/>
          <w:color w:val="000000"/>
        </w:rPr>
        <w:t xml:space="preserve">killing </w:t>
      </w:r>
      <w:r w:rsidRPr="00627719">
        <w:rPr>
          <w:b/>
          <w:color w:val="000000"/>
        </w:rPr>
        <w:t xml:space="preserve">of </w:t>
      </w:r>
      <w:r w:rsidR="00FF6F09" w:rsidRPr="00627719">
        <w:rPr>
          <w:b/>
          <w:color w:val="000000"/>
        </w:rPr>
        <w:t>Mr</w:t>
      </w:r>
      <w:r w:rsidR="00A303C6" w:rsidRPr="00627719">
        <w:rPr>
          <w:b/>
        </w:rPr>
        <w:t xml:space="preserve"> Zoran Vukićević</w:t>
      </w:r>
    </w:p>
    <w:p w:rsidR="003A3E9C" w:rsidRPr="00627719" w:rsidRDefault="003A3E9C" w:rsidP="003A3E9C">
      <w:pPr>
        <w:tabs>
          <w:tab w:val="left" w:pos="360"/>
        </w:tabs>
        <w:suppressAutoHyphens/>
        <w:autoSpaceDE w:val="0"/>
        <w:ind w:left="360"/>
        <w:jc w:val="both"/>
        <w:rPr>
          <w:bCs/>
          <w:color w:val="000000"/>
          <w:lang w:val="en-GB"/>
        </w:rPr>
      </w:pPr>
    </w:p>
    <w:p w:rsidR="00A303C6" w:rsidRPr="00627719" w:rsidRDefault="00A303C6" w:rsidP="00A303C6">
      <w:pPr>
        <w:widowControl w:val="0"/>
        <w:numPr>
          <w:ilvl w:val="0"/>
          <w:numId w:val="5"/>
        </w:numPr>
        <w:tabs>
          <w:tab w:val="left" w:pos="360"/>
          <w:tab w:val="left" w:pos="1080"/>
        </w:tabs>
        <w:suppressAutoHyphens/>
        <w:ind w:left="360"/>
        <w:jc w:val="both"/>
      </w:pPr>
      <w:r w:rsidRPr="00627719">
        <w:t xml:space="preserve">The complainant is the wife of Zoran Vukićević. The following account of </w:t>
      </w:r>
      <w:r w:rsidR="00D4251F" w:rsidRPr="00627719">
        <w:t>his</w:t>
      </w:r>
      <w:r w:rsidRPr="00627719">
        <w:t xml:space="preserve"> killing is based on the complainant’s submissions to the Panel.</w:t>
      </w:r>
    </w:p>
    <w:p w:rsidR="00D4251F" w:rsidRPr="00627719" w:rsidRDefault="00D4251F" w:rsidP="00D4251F">
      <w:pPr>
        <w:widowControl w:val="0"/>
        <w:tabs>
          <w:tab w:val="left" w:pos="360"/>
          <w:tab w:val="left" w:pos="1080"/>
        </w:tabs>
        <w:suppressAutoHyphens/>
        <w:ind w:left="360"/>
        <w:jc w:val="both"/>
      </w:pPr>
    </w:p>
    <w:p w:rsidR="00A303C6" w:rsidRPr="00627719" w:rsidRDefault="00A303C6" w:rsidP="00A303C6">
      <w:pPr>
        <w:widowControl w:val="0"/>
        <w:numPr>
          <w:ilvl w:val="0"/>
          <w:numId w:val="5"/>
        </w:numPr>
        <w:tabs>
          <w:tab w:val="left" w:pos="360"/>
          <w:tab w:val="left" w:pos="1080"/>
        </w:tabs>
        <w:suppressAutoHyphens/>
        <w:ind w:left="360"/>
        <w:jc w:val="both"/>
      </w:pPr>
      <w:r w:rsidRPr="00627719">
        <w:t>The complainant states that on 17 December 1999 her husband</w:t>
      </w:r>
      <w:r w:rsidRPr="00627719">
        <w:rPr>
          <w:bCs/>
        </w:rPr>
        <w:t>, together with seven</w:t>
      </w:r>
      <w:r w:rsidRPr="00627719">
        <w:t xml:space="preserve"> other persons of Serbian ethnicity, was injured</w:t>
      </w:r>
      <w:r w:rsidRPr="00627719">
        <w:rPr>
          <w:bCs/>
        </w:rPr>
        <w:t xml:space="preserve"> during an armed attack </w:t>
      </w:r>
      <w:r w:rsidRPr="00627719">
        <w:t xml:space="preserve">on a </w:t>
      </w:r>
      <w:r w:rsidR="003A2D4B" w:rsidRPr="00627719">
        <w:t xml:space="preserve">shop </w:t>
      </w:r>
      <w:r w:rsidRPr="00627719">
        <w:t xml:space="preserve">located in </w:t>
      </w:r>
      <w:r w:rsidR="003A2D4B" w:rsidRPr="00627719">
        <w:t>her father’s</w:t>
      </w:r>
      <w:r w:rsidR="00B91501" w:rsidRPr="00627719">
        <w:t xml:space="preserve"> </w:t>
      </w:r>
      <w:r w:rsidR="003A2D4B" w:rsidRPr="00627719">
        <w:t xml:space="preserve">house in </w:t>
      </w:r>
      <w:r w:rsidRPr="00627719">
        <w:t xml:space="preserve">the </w:t>
      </w:r>
      <w:r w:rsidRPr="00627719">
        <w:rPr>
          <w:bCs/>
          <w:lang w:val="en-GB"/>
        </w:rPr>
        <w:t>Serbian</w:t>
      </w:r>
      <w:r w:rsidRPr="00627719">
        <w:t xml:space="preserve"> quarters of Rahovec/Orahovac. In the evening, unknown perpetrators</w:t>
      </w:r>
      <w:r w:rsidR="00B91501" w:rsidRPr="00627719">
        <w:t xml:space="preserve">, </w:t>
      </w:r>
      <w:r w:rsidRPr="00627719">
        <w:t>allegedly members of the Kosovo Liberation Army attacked the bar with firearms and hand grenades. Zoran Vukićević su</w:t>
      </w:r>
      <w:r w:rsidRPr="00627719">
        <w:rPr>
          <w:bCs/>
        </w:rPr>
        <w:t>stained severe head injur</w:t>
      </w:r>
      <w:r w:rsidR="00B91501" w:rsidRPr="00627719">
        <w:rPr>
          <w:bCs/>
        </w:rPr>
        <w:t>ies</w:t>
      </w:r>
      <w:r w:rsidRPr="00627719">
        <w:rPr>
          <w:bCs/>
        </w:rPr>
        <w:t xml:space="preserve"> and was taken to </w:t>
      </w:r>
      <w:r w:rsidR="007D65BE" w:rsidRPr="00627719">
        <w:rPr>
          <w:bCs/>
        </w:rPr>
        <w:t>a KFOR</w:t>
      </w:r>
      <w:r w:rsidRPr="00627719">
        <w:rPr>
          <w:bCs/>
        </w:rPr>
        <w:t xml:space="preserve"> hospital; he </w:t>
      </w:r>
      <w:r w:rsidR="00060347" w:rsidRPr="00627719">
        <w:rPr>
          <w:bCs/>
        </w:rPr>
        <w:t>died on the way, before reaching it.</w:t>
      </w:r>
    </w:p>
    <w:p w:rsidR="00A303C6" w:rsidRPr="00627719" w:rsidRDefault="00A303C6" w:rsidP="00A303C6">
      <w:pPr>
        <w:pStyle w:val="ListParagraph"/>
      </w:pPr>
    </w:p>
    <w:p w:rsidR="00193C1B" w:rsidRDefault="00A303C6" w:rsidP="00A303C6">
      <w:pPr>
        <w:widowControl w:val="0"/>
        <w:numPr>
          <w:ilvl w:val="0"/>
          <w:numId w:val="5"/>
        </w:numPr>
        <w:tabs>
          <w:tab w:val="left" w:pos="360"/>
          <w:tab w:val="left" w:pos="1080"/>
        </w:tabs>
        <w:suppressAutoHyphens/>
        <w:ind w:left="360"/>
        <w:jc w:val="both"/>
      </w:pPr>
      <w:r w:rsidRPr="00627719">
        <w:t xml:space="preserve">Seven days after his </w:t>
      </w:r>
      <w:r w:rsidR="00B91501" w:rsidRPr="00627719">
        <w:t>killing</w:t>
      </w:r>
      <w:r w:rsidRPr="00627719">
        <w:t xml:space="preserve">, KFOR transported the complainant and her children to the boundary between Kosovo and Serbia proper, from where they went to live in Belgrade. The </w:t>
      </w:r>
    </w:p>
    <w:p w:rsidR="00193C1B" w:rsidRDefault="00193C1B" w:rsidP="00193C1B">
      <w:pPr>
        <w:pStyle w:val="ListParagraph"/>
      </w:pPr>
    </w:p>
    <w:p w:rsidR="00193C1B" w:rsidRDefault="00193C1B" w:rsidP="00193C1B">
      <w:pPr>
        <w:widowControl w:val="0"/>
        <w:tabs>
          <w:tab w:val="left" w:pos="360"/>
          <w:tab w:val="left" w:pos="1080"/>
        </w:tabs>
        <w:suppressAutoHyphens/>
        <w:ind w:left="360"/>
        <w:jc w:val="both"/>
      </w:pPr>
    </w:p>
    <w:p w:rsidR="00A303C6" w:rsidRPr="00627719" w:rsidRDefault="00B91501" w:rsidP="00193C1B">
      <w:pPr>
        <w:widowControl w:val="0"/>
        <w:tabs>
          <w:tab w:val="left" w:pos="360"/>
          <w:tab w:val="left" w:pos="1080"/>
        </w:tabs>
        <w:suppressAutoHyphens/>
        <w:ind w:left="360"/>
        <w:jc w:val="both"/>
      </w:pPr>
      <w:r w:rsidRPr="00627719">
        <w:t xml:space="preserve">body </w:t>
      </w:r>
      <w:r w:rsidR="00A303C6" w:rsidRPr="00627719">
        <w:t xml:space="preserve">of her late husband was handed over to the complainant </w:t>
      </w:r>
      <w:r w:rsidR="0012456C" w:rsidRPr="00627719">
        <w:t xml:space="preserve">shortly thereafter, and they </w:t>
      </w:r>
      <w:r w:rsidR="00A303C6" w:rsidRPr="00627719">
        <w:t>buried him in Belgrade, on 29 December 1999.</w:t>
      </w:r>
    </w:p>
    <w:p w:rsidR="008B4E5B" w:rsidRPr="00627719" w:rsidRDefault="008B4E5B" w:rsidP="00EC64DD">
      <w:pPr>
        <w:widowControl w:val="0"/>
        <w:tabs>
          <w:tab w:val="left" w:pos="360"/>
          <w:tab w:val="left" w:pos="1080"/>
        </w:tabs>
        <w:suppressAutoHyphens/>
        <w:ind w:left="360" w:hanging="360"/>
        <w:jc w:val="both"/>
        <w:rPr>
          <w:bCs/>
        </w:rPr>
      </w:pPr>
    </w:p>
    <w:p w:rsidR="00FE5D67" w:rsidRPr="00627719" w:rsidRDefault="00FE5D67" w:rsidP="00FE5D67">
      <w:pPr>
        <w:widowControl w:val="0"/>
        <w:numPr>
          <w:ilvl w:val="0"/>
          <w:numId w:val="5"/>
        </w:numPr>
        <w:tabs>
          <w:tab w:val="left" w:pos="360"/>
          <w:tab w:val="left" w:pos="1080"/>
        </w:tabs>
        <w:suppressAutoHyphens/>
        <w:ind w:left="360"/>
        <w:jc w:val="both"/>
        <w:rPr>
          <w:bCs/>
          <w:lang w:val="en-GB"/>
        </w:rPr>
      </w:pPr>
      <w:bookmarkStart w:id="5" w:name="_Ref347560906"/>
      <w:r w:rsidRPr="00627719">
        <w:rPr>
          <w:bCs/>
          <w:lang w:val="en-GB"/>
        </w:rPr>
        <w:t xml:space="preserve">The complainant also presents the Panel with a copy of a letter </w:t>
      </w:r>
      <w:r w:rsidR="00B91501" w:rsidRPr="00627719">
        <w:rPr>
          <w:bCs/>
          <w:lang w:val="en-GB"/>
        </w:rPr>
        <w:t>on</w:t>
      </w:r>
      <w:r w:rsidRPr="00627719">
        <w:rPr>
          <w:bCs/>
          <w:lang w:val="en-GB"/>
        </w:rPr>
        <w:t xml:space="preserve"> UNMIK letterhead, issued by the UNMIK Municipality of Rahovec/Orahovac on 19 January 2000 instead of an official death certificate. The letter confirms that according to an UNMIK Police report, Zoran </w:t>
      </w:r>
      <w:r w:rsidRPr="00627719">
        <w:t xml:space="preserve">Vukićević was killed on 17 December 1999. According to the letter, a copy of the mentioned report was attached thereto. </w:t>
      </w:r>
    </w:p>
    <w:p w:rsidR="00FE5D67" w:rsidRPr="00627719" w:rsidRDefault="00FE5D67" w:rsidP="00FE5D67">
      <w:pPr>
        <w:pStyle w:val="ListParagraph"/>
        <w:rPr>
          <w:bCs/>
          <w:lang w:val="en-GB"/>
        </w:rPr>
      </w:pPr>
    </w:p>
    <w:p w:rsidR="003A2D4B" w:rsidRPr="00627719" w:rsidRDefault="000D0543" w:rsidP="00EC64DD">
      <w:pPr>
        <w:widowControl w:val="0"/>
        <w:numPr>
          <w:ilvl w:val="0"/>
          <w:numId w:val="5"/>
        </w:numPr>
        <w:tabs>
          <w:tab w:val="left" w:pos="360"/>
          <w:tab w:val="left" w:pos="1080"/>
        </w:tabs>
        <w:suppressAutoHyphens/>
        <w:ind w:left="360"/>
        <w:jc w:val="both"/>
        <w:rPr>
          <w:bCs/>
          <w:lang w:val="en-GB"/>
        </w:rPr>
      </w:pPr>
      <w:bookmarkStart w:id="6" w:name="_Ref349811235"/>
      <w:r w:rsidRPr="00627719">
        <w:rPr>
          <w:bCs/>
          <w:lang w:val="en-GB"/>
        </w:rPr>
        <w:t xml:space="preserve">The </w:t>
      </w:r>
      <w:r w:rsidR="00582181" w:rsidRPr="00627719">
        <w:rPr>
          <w:bCs/>
          <w:lang w:val="en-GB"/>
        </w:rPr>
        <w:t>complainant also provided</w:t>
      </w:r>
      <w:r w:rsidR="00B91501" w:rsidRPr="00627719">
        <w:rPr>
          <w:bCs/>
          <w:lang w:val="en-GB"/>
        </w:rPr>
        <w:t xml:space="preserve"> to the Panel</w:t>
      </w:r>
      <w:r w:rsidR="00582181" w:rsidRPr="00627719">
        <w:rPr>
          <w:bCs/>
          <w:lang w:val="en-GB"/>
        </w:rPr>
        <w:t xml:space="preserve"> copies</w:t>
      </w:r>
      <w:r w:rsidR="00B91501" w:rsidRPr="00627719">
        <w:rPr>
          <w:bCs/>
          <w:lang w:val="en-GB"/>
        </w:rPr>
        <w:t xml:space="preserve"> </w:t>
      </w:r>
      <w:r w:rsidR="00582181" w:rsidRPr="00627719">
        <w:rPr>
          <w:bCs/>
          <w:lang w:val="en-GB"/>
        </w:rPr>
        <w:t xml:space="preserve">of what appears to be certified Serbian translation of </w:t>
      </w:r>
      <w:r w:rsidR="00A523B8" w:rsidRPr="00627719">
        <w:rPr>
          <w:bCs/>
          <w:lang w:val="en-GB"/>
        </w:rPr>
        <w:t>four</w:t>
      </w:r>
      <w:r w:rsidR="003A2D4B" w:rsidRPr="00627719">
        <w:rPr>
          <w:bCs/>
          <w:lang w:val="en-GB"/>
        </w:rPr>
        <w:t xml:space="preserve"> </w:t>
      </w:r>
      <w:r w:rsidR="00582181" w:rsidRPr="00627719">
        <w:rPr>
          <w:bCs/>
          <w:lang w:val="en-GB"/>
        </w:rPr>
        <w:t>UNMIK Police reports</w:t>
      </w:r>
      <w:r w:rsidR="00247D5A" w:rsidRPr="00627719">
        <w:rPr>
          <w:bCs/>
          <w:lang w:val="en-GB"/>
        </w:rPr>
        <w:t>:</w:t>
      </w:r>
      <w:bookmarkEnd w:id="6"/>
    </w:p>
    <w:p w:rsidR="003A2D4B" w:rsidRPr="00627719" w:rsidRDefault="003A2D4B" w:rsidP="003A2D4B">
      <w:pPr>
        <w:pStyle w:val="ListParagraph"/>
        <w:rPr>
          <w:bCs/>
          <w:lang w:val="en-GB"/>
        </w:rPr>
      </w:pPr>
    </w:p>
    <w:p w:rsidR="003A2D4B" w:rsidRPr="00627719" w:rsidRDefault="007D65BE" w:rsidP="00197556">
      <w:pPr>
        <w:widowControl w:val="0"/>
        <w:tabs>
          <w:tab w:val="left" w:pos="990"/>
        </w:tabs>
        <w:suppressAutoHyphens/>
        <w:ind w:left="990" w:hanging="630"/>
        <w:jc w:val="both"/>
        <w:rPr>
          <w:bCs/>
          <w:lang w:val="en-GB"/>
        </w:rPr>
      </w:pPr>
      <w:r w:rsidRPr="00627719">
        <w:rPr>
          <w:bCs/>
          <w:color w:val="000000"/>
          <w:lang w:val="en-GB"/>
        </w:rPr>
        <w:t>a</w:t>
      </w:r>
      <w:r w:rsidR="00197556" w:rsidRPr="00627719">
        <w:rPr>
          <w:bCs/>
          <w:color w:val="000000"/>
          <w:lang w:val="en-GB"/>
        </w:rPr>
        <w:t>)</w:t>
      </w:r>
      <w:r w:rsidR="00197556" w:rsidRPr="00627719">
        <w:rPr>
          <w:bCs/>
          <w:color w:val="000000"/>
          <w:lang w:val="en-GB"/>
        </w:rPr>
        <w:tab/>
      </w:r>
      <w:r w:rsidR="003A2D4B" w:rsidRPr="00627719">
        <w:rPr>
          <w:bCs/>
          <w:color w:val="000000"/>
          <w:lang w:val="en-GB"/>
        </w:rPr>
        <w:t>t</w:t>
      </w:r>
      <w:r w:rsidR="00247D5A" w:rsidRPr="00627719">
        <w:rPr>
          <w:bCs/>
          <w:color w:val="000000"/>
          <w:lang w:val="en-GB"/>
        </w:rPr>
        <w:t>he</w:t>
      </w:r>
      <w:r w:rsidR="00BA7506" w:rsidRPr="00627719">
        <w:rPr>
          <w:bCs/>
          <w:color w:val="000000"/>
          <w:lang w:val="en-GB"/>
        </w:rPr>
        <w:t xml:space="preserve"> </w:t>
      </w:r>
      <w:r w:rsidR="00CD0115" w:rsidRPr="00627719">
        <w:rPr>
          <w:bCs/>
          <w:color w:val="000000"/>
          <w:lang w:val="en-GB"/>
        </w:rPr>
        <w:t xml:space="preserve">undated </w:t>
      </w:r>
      <w:r w:rsidR="00582181" w:rsidRPr="00627719">
        <w:rPr>
          <w:bCs/>
          <w:color w:val="000000"/>
          <w:lang w:val="en-GB"/>
        </w:rPr>
        <w:t xml:space="preserve">Initial Incident Report </w:t>
      </w:r>
      <w:r w:rsidR="00BA7506" w:rsidRPr="00627719">
        <w:rPr>
          <w:bCs/>
          <w:color w:val="000000"/>
          <w:lang w:val="en-GB"/>
        </w:rPr>
        <w:t xml:space="preserve">presents brief factual data </w:t>
      </w:r>
      <w:r w:rsidR="00B91501" w:rsidRPr="00627719">
        <w:rPr>
          <w:bCs/>
          <w:color w:val="000000"/>
          <w:lang w:val="en-GB"/>
        </w:rPr>
        <w:t>about</w:t>
      </w:r>
      <w:r w:rsidR="00BA7506" w:rsidRPr="00627719">
        <w:rPr>
          <w:bCs/>
          <w:color w:val="000000"/>
          <w:lang w:val="en-GB"/>
        </w:rPr>
        <w:t xml:space="preserve"> the</w:t>
      </w:r>
      <w:r w:rsidR="00BA7506" w:rsidRPr="00627719">
        <w:rPr>
          <w:bCs/>
          <w:lang w:val="en-GB"/>
        </w:rPr>
        <w:t xml:space="preserve"> incident</w:t>
      </w:r>
      <w:r w:rsidR="00247D5A" w:rsidRPr="00627719">
        <w:rPr>
          <w:bCs/>
          <w:lang w:val="en-GB"/>
        </w:rPr>
        <w:t>: time, place</w:t>
      </w:r>
      <w:r w:rsidR="00BA7506" w:rsidRPr="00627719">
        <w:rPr>
          <w:bCs/>
          <w:lang w:val="en-GB"/>
        </w:rPr>
        <w:t xml:space="preserve">, </w:t>
      </w:r>
      <w:r w:rsidR="00B91501" w:rsidRPr="00627719">
        <w:rPr>
          <w:bCs/>
          <w:lang w:val="en-GB"/>
        </w:rPr>
        <w:t>the</w:t>
      </w:r>
      <w:r w:rsidR="00247D5A" w:rsidRPr="00627719">
        <w:rPr>
          <w:bCs/>
          <w:lang w:val="en-GB"/>
        </w:rPr>
        <w:t xml:space="preserve"> number </w:t>
      </w:r>
      <w:r w:rsidR="00BA7506" w:rsidRPr="00627719">
        <w:rPr>
          <w:bCs/>
          <w:lang w:val="en-GB"/>
        </w:rPr>
        <w:t>of victims and their status (deceased – with regard to</w:t>
      </w:r>
      <w:r w:rsidR="00B91501" w:rsidRPr="00627719">
        <w:rPr>
          <w:bCs/>
          <w:lang w:val="en-GB"/>
        </w:rPr>
        <w:t xml:space="preserve"> the</w:t>
      </w:r>
      <w:r w:rsidR="00BA7506" w:rsidRPr="00627719">
        <w:rPr>
          <w:bCs/>
          <w:lang w:val="en-GB"/>
        </w:rPr>
        <w:t xml:space="preserve"> complainant’s husband), </w:t>
      </w:r>
      <w:r w:rsidR="003A2D4B" w:rsidRPr="00627719">
        <w:rPr>
          <w:bCs/>
          <w:lang w:val="en-GB"/>
        </w:rPr>
        <w:t xml:space="preserve">as well as </w:t>
      </w:r>
      <w:r w:rsidR="00CB3F97" w:rsidRPr="00627719">
        <w:rPr>
          <w:bCs/>
          <w:lang w:val="en-GB"/>
        </w:rPr>
        <w:t xml:space="preserve">an </w:t>
      </w:r>
      <w:r w:rsidR="003A2D4B" w:rsidRPr="00627719">
        <w:rPr>
          <w:bCs/>
          <w:lang w:val="en-GB"/>
        </w:rPr>
        <w:t xml:space="preserve">overview of the </w:t>
      </w:r>
      <w:r w:rsidR="00BA7506" w:rsidRPr="00627719">
        <w:rPr>
          <w:bCs/>
          <w:lang w:val="en-GB"/>
        </w:rPr>
        <w:t xml:space="preserve">physical evidence </w:t>
      </w:r>
      <w:r w:rsidR="003A2D4B" w:rsidRPr="00627719">
        <w:rPr>
          <w:bCs/>
          <w:lang w:val="en-GB"/>
        </w:rPr>
        <w:t xml:space="preserve">discovered at the crime scene </w:t>
      </w:r>
      <w:r w:rsidR="00BA7506" w:rsidRPr="00627719">
        <w:rPr>
          <w:bCs/>
          <w:lang w:val="en-GB"/>
        </w:rPr>
        <w:t xml:space="preserve">(spent shell casings and “used </w:t>
      </w:r>
      <w:r w:rsidR="003A2D4B" w:rsidRPr="00627719">
        <w:rPr>
          <w:bCs/>
          <w:lang w:val="en-GB"/>
        </w:rPr>
        <w:t>hand grenade”);</w:t>
      </w:r>
    </w:p>
    <w:p w:rsidR="003A2D4B" w:rsidRPr="00627719" w:rsidRDefault="003A2D4B" w:rsidP="003A2D4B">
      <w:pPr>
        <w:widowControl w:val="0"/>
        <w:tabs>
          <w:tab w:val="left" w:pos="360"/>
          <w:tab w:val="left" w:pos="1080"/>
        </w:tabs>
        <w:suppressAutoHyphens/>
        <w:ind w:left="360"/>
        <w:jc w:val="both"/>
        <w:rPr>
          <w:bCs/>
          <w:lang w:val="en-GB"/>
        </w:rPr>
      </w:pPr>
    </w:p>
    <w:p w:rsidR="003A2D4B" w:rsidRPr="00627719" w:rsidRDefault="00197556" w:rsidP="00197556">
      <w:pPr>
        <w:widowControl w:val="0"/>
        <w:tabs>
          <w:tab w:val="left" w:pos="990"/>
        </w:tabs>
        <w:suppressAutoHyphens/>
        <w:ind w:left="990" w:hanging="630"/>
        <w:jc w:val="both"/>
        <w:rPr>
          <w:bCs/>
          <w:lang w:val="en-GB"/>
        </w:rPr>
      </w:pPr>
      <w:r w:rsidRPr="00627719">
        <w:rPr>
          <w:bCs/>
          <w:color w:val="000000"/>
          <w:lang w:val="en-GB"/>
        </w:rPr>
        <w:t>(</w:t>
      </w:r>
      <w:r w:rsidR="007D65BE" w:rsidRPr="00627719">
        <w:rPr>
          <w:bCs/>
          <w:color w:val="000000"/>
          <w:lang w:val="en-GB"/>
        </w:rPr>
        <w:t>b</w:t>
      </w:r>
      <w:r w:rsidRPr="00627719">
        <w:rPr>
          <w:bCs/>
          <w:color w:val="000000"/>
          <w:lang w:val="en-GB"/>
        </w:rPr>
        <w:t>)</w:t>
      </w:r>
      <w:r w:rsidRPr="00627719">
        <w:rPr>
          <w:bCs/>
          <w:color w:val="000000"/>
          <w:lang w:val="en-GB"/>
        </w:rPr>
        <w:tab/>
      </w:r>
      <w:r w:rsidR="003A2D4B" w:rsidRPr="00627719">
        <w:rPr>
          <w:bCs/>
          <w:color w:val="000000"/>
          <w:lang w:val="en-GB"/>
        </w:rPr>
        <w:t>an</w:t>
      </w:r>
      <w:r w:rsidR="00247D5A" w:rsidRPr="00627719">
        <w:rPr>
          <w:bCs/>
          <w:color w:val="000000"/>
          <w:lang w:val="en-GB"/>
        </w:rPr>
        <w:t xml:space="preserve"> </w:t>
      </w:r>
      <w:r w:rsidR="00CD0115" w:rsidRPr="00627719">
        <w:rPr>
          <w:bCs/>
          <w:color w:val="000000"/>
          <w:lang w:val="en-GB"/>
        </w:rPr>
        <w:t xml:space="preserve">undated </w:t>
      </w:r>
      <w:r w:rsidR="00582181" w:rsidRPr="00627719">
        <w:rPr>
          <w:bCs/>
          <w:color w:val="000000"/>
          <w:lang w:val="en-GB"/>
        </w:rPr>
        <w:t>Officer’s Report</w:t>
      </w:r>
      <w:r w:rsidR="00247D5A" w:rsidRPr="00627719">
        <w:rPr>
          <w:bCs/>
          <w:color w:val="000000"/>
          <w:lang w:val="en-GB"/>
        </w:rPr>
        <w:t xml:space="preserve"> </w:t>
      </w:r>
      <w:r w:rsidR="003A2D4B" w:rsidRPr="00627719">
        <w:rPr>
          <w:bCs/>
          <w:color w:val="000000"/>
          <w:lang w:val="en-GB"/>
        </w:rPr>
        <w:t xml:space="preserve">from </w:t>
      </w:r>
      <w:r w:rsidR="00A523B8" w:rsidRPr="00627719">
        <w:rPr>
          <w:bCs/>
          <w:color w:val="000000"/>
          <w:lang w:val="en-GB"/>
        </w:rPr>
        <w:t xml:space="preserve">the </w:t>
      </w:r>
      <w:r w:rsidR="003A2D4B" w:rsidRPr="00627719">
        <w:rPr>
          <w:bCs/>
          <w:color w:val="000000"/>
          <w:lang w:val="en-GB"/>
        </w:rPr>
        <w:t>Team Leader of UNMIK Police station in</w:t>
      </w:r>
      <w:r w:rsidR="003A2D4B" w:rsidRPr="00627719">
        <w:rPr>
          <w:bCs/>
          <w:lang w:val="en-GB"/>
        </w:rPr>
        <w:t xml:space="preserve"> Rahovec/Orahovac reads that on 17 December 1999, at around 20:05, the police w</w:t>
      </w:r>
      <w:r w:rsidR="003064B6" w:rsidRPr="00627719">
        <w:rPr>
          <w:bCs/>
          <w:lang w:val="en-GB"/>
        </w:rPr>
        <w:t>ere</w:t>
      </w:r>
      <w:r w:rsidR="003A2D4B" w:rsidRPr="00627719">
        <w:rPr>
          <w:bCs/>
          <w:lang w:val="en-GB"/>
        </w:rPr>
        <w:t xml:space="preserve"> informed about shooting in Serbian quarters at unknown location; a police patrol arrived at the scene at 20:10, but was forced to leave the place by a hostile crowd; at 21:10, the area around the scene </w:t>
      </w:r>
      <w:r w:rsidR="00A523B8" w:rsidRPr="00627719">
        <w:rPr>
          <w:bCs/>
          <w:lang w:val="en-GB"/>
        </w:rPr>
        <w:t>was secured by KFOR and all available UNMIK Police units;</w:t>
      </w:r>
    </w:p>
    <w:p w:rsidR="003A2D4B" w:rsidRPr="00627719" w:rsidRDefault="003A2D4B" w:rsidP="003A2D4B">
      <w:pPr>
        <w:pStyle w:val="ListParagraph"/>
        <w:rPr>
          <w:bCs/>
          <w:lang w:val="en-GB"/>
        </w:rPr>
      </w:pPr>
    </w:p>
    <w:p w:rsidR="00D8534B" w:rsidRPr="00627719" w:rsidRDefault="00197556" w:rsidP="00197556">
      <w:pPr>
        <w:widowControl w:val="0"/>
        <w:tabs>
          <w:tab w:val="left" w:pos="990"/>
        </w:tabs>
        <w:suppressAutoHyphens/>
        <w:ind w:left="990" w:hanging="630"/>
        <w:jc w:val="both"/>
        <w:rPr>
          <w:bCs/>
          <w:lang w:val="en-GB"/>
        </w:rPr>
      </w:pPr>
      <w:r w:rsidRPr="00627719">
        <w:rPr>
          <w:bCs/>
          <w:color w:val="000000"/>
          <w:lang w:val="en-GB"/>
        </w:rPr>
        <w:t>(c)</w:t>
      </w:r>
      <w:r w:rsidRPr="00627719">
        <w:rPr>
          <w:bCs/>
          <w:color w:val="000000"/>
          <w:lang w:val="en-GB"/>
        </w:rPr>
        <w:tab/>
      </w:r>
      <w:r w:rsidR="00A523B8" w:rsidRPr="00627719">
        <w:rPr>
          <w:bCs/>
          <w:color w:val="000000"/>
          <w:lang w:val="en-GB"/>
        </w:rPr>
        <w:t>a</w:t>
      </w:r>
      <w:r w:rsidR="00CD0115" w:rsidRPr="00627719">
        <w:rPr>
          <w:bCs/>
          <w:color w:val="000000"/>
          <w:lang w:val="en-GB"/>
        </w:rPr>
        <w:t>n undated</w:t>
      </w:r>
      <w:r w:rsidR="00A523B8" w:rsidRPr="00627719">
        <w:rPr>
          <w:bCs/>
          <w:color w:val="000000"/>
          <w:lang w:val="en-GB"/>
        </w:rPr>
        <w:t xml:space="preserve"> report of the Chief of Operations of the UNMIK Police station in</w:t>
      </w:r>
      <w:r w:rsidR="00A523B8" w:rsidRPr="00627719">
        <w:rPr>
          <w:bCs/>
          <w:lang w:val="en-GB"/>
        </w:rPr>
        <w:t xml:space="preserve"> Rahovec/Orahovac </w:t>
      </w:r>
      <w:r w:rsidR="008C5019" w:rsidRPr="00627719">
        <w:rPr>
          <w:bCs/>
          <w:lang w:val="en-GB"/>
        </w:rPr>
        <w:t xml:space="preserve">gives </w:t>
      </w:r>
      <w:r w:rsidR="00A523B8" w:rsidRPr="00627719">
        <w:rPr>
          <w:bCs/>
          <w:lang w:val="en-GB"/>
        </w:rPr>
        <w:t xml:space="preserve">a description of the immediate police reaction to the incident and </w:t>
      </w:r>
      <w:r w:rsidR="003064B6" w:rsidRPr="00627719">
        <w:rPr>
          <w:bCs/>
          <w:lang w:val="en-GB"/>
        </w:rPr>
        <w:t xml:space="preserve">of </w:t>
      </w:r>
      <w:r w:rsidR="00A523B8" w:rsidRPr="00627719">
        <w:rPr>
          <w:bCs/>
          <w:lang w:val="en-GB"/>
        </w:rPr>
        <w:t>cooperation with the Danish KFOR to secure the location</w:t>
      </w:r>
      <w:r w:rsidR="003064B6" w:rsidRPr="00627719">
        <w:rPr>
          <w:bCs/>
          <w:lang w:val="en-GB"/>
        </w:rPr>
        <w:t>.</w:t>
      </w:r>
      <w:r w:rsidR="00A523B8" w:rsidRPr="00627719">
        <w:rPr>
          <w:bCs/>
          <w:lang w:val="en-GB"/>
        </w:rPr>
        <w:t xml:space="preserve"> </w:t>
      </w:r>
      <w:r w:rsidR="003064B6" w:rsidRPr="00627719">
        <w:rPr>
          <w:bCs/>
          <w:lang w:val="en-GB"/>
        </w:rPr>
        <w:t>I</w:t>
      </w:r>
      <w:r w:rsidR="008C5019" w:rsidRPr="00627719">
        <w:rPr>
          <w:bCs/>
          <w:lang w:val="en-GB"/>
        </w:rPr>
        <w:t xml:space="preserve">t further </w:t>
      </w:r>
      <w:r w:rsidR="00A523B8" w:rsidRPr="00627719">
        <w:rPr>
          <w:bCs/>
          <w:lang w:val="en-GB"/>
        </w:rPr>
        <w:t xml:space="preserve">reads that the Regional Investigation Unit </w:t>
      </w:r>
      <w:r w:rsidR="00CD0115" w:rsidRPr="00627719">
        <w:rPr>
          <w:bCs/>
          <w:lang w:val="en-GB"/>
        </w:rPr>
        <w:t xml:space="preserve">(RIU) of the </w:t>
      </w:r>
      <w:r w:rsidR="00A523B8" w:rsidRPr="00627719">
        <w:rPr>
          <w:bCs/>
          <w:lang w:val="en-GB"/>
        </w:rPr>
        <w:t>Prizren Regional UNMIK Police Headquarters was informed of the incident and was to take over the investigation</w:t>
      </w:r>
      <w:r w:rsidR="00CD0115" w:rsidRPr="00627719">
        <w:rPr>
          <w:bCs/>
          <w:lang w:val="en-GB"/>
        </w:rPr>
        <w:t xml:space="preserve">; </w:t>
      </w:r>
      <w:r w:rsidR="003064B6" w:rsidRPr="00627719">
        <w:rPr>
          <w:bCs/>
          <w:lang w:val="en-GB"/>
        </w:rPr>
        <w:t xml:space="preserve">that </w:t>
      </w:r>
      <w:r w:rsidR="00CD0115" w:rsidRPr="00627719">
        <w:rPr>
          <w:bCs/>
          <w:lang w:val="en-GB"/>
        </w:rPr>
        <w:t xml:space="preserve">two of the seven injured </w:t>
      </w:r>
      <w:r w:rsidR="003064B6" w:rsidRPr="00627719">
        <w:rPr>
          <w:bCs/>
          <w:lang w:val="en-GB"/>
        </w:rPr>
        <w:t xml:space="preserve">persons </w:t>
      </w:r>
      <w:r w:rsidR="00CD0115" w:rsidRPr="00627719">
        <w:rPr>
          <w:bCs/>
          <w:lang w:val="en-GB"/>
        </w:rPr>
        <w:t>were transported by UNMIK Police to</w:t>
      </w:r>
      <w:r w:rsidR="00A31882" w:rsidRPr="00627719">
        <w:rPr>
          <w:bCs/>
          <w:lang w:val="en-GB"/>
        </w:rPr>
        <w:t xml:space="preserve"> the</w:t>
      </w:r>
      <w:r w:rsidR="00CD0115" w:rsidRPr="00627719">
        <w:rPr>
          <w:bCs/>
          <w:lang w:val="en-GB"/>
        </w:rPr>
        <w:t xml:space="preserve"> </w:t>
      </w:r>
      <w:r w:rsidR="003064B6" w:rsidRPr="00627719">
        <w:rPr>
          <w:bCs/>
          <w:lang w:val="en-GB"/>
        </w:rPr>
        <w:t>“Argentinian base”</w:t>
      </w:r>
      <w:r w:rsidR="00A31882" w:rsidRPr="00627719">
        <w:rPr>
          <w:bCs/>
          <w:lang w:val="en-GB"/>
        </w:rPr>
        <w:t xml:space="preserve"> </w:t>
      </w:r>
      <w:r w:rsidR="00CD0115" w:rsidRPr="00627719">
        <w:rPr>
          <w:bCs/>
          <w:lang w:val="en-GB"/>
        </w:rPr>
        <w:t xml:space="preserve">because of </w:t>
      </w:r>
      <w:r w:rsidR="003064B6" w:rsidRPr="00627719">
        <w:rPr>
          <w:bCs/>
          <w:lang w:val="en-GB"/>
        </w:rPr>
        <w:t xml:space="preserve">their </w:t>
      </w:r>
      <w:r w:rsidR="00CD0115" w:rsidRPr="00627719">
        <w:rPr>
          <w:bCs/>
          <w:lang w:val="en-GB"/>
        </w:rPr>
        <w:t xml:space="preserve">serious injuries; </w:t>
      </w:r>
      <w:r w:rsidR="003064B6" w:rsidRPr="00627719">
        <w:rPr>
          <w:bCs/>
          <w:lang w:val="en-GB"/>
        </w:rPr>
        <w:t xml:space="preserve">that </w:t>
      </w:r>
      <w:r w:rsidR="00CD0115" w:rsidRPr="00627719">
        <w:rPr>
          <w:bCs/>
          <w:lang w:val="en-GB"/>
        </w:rPr>
        <w:t xml:space="preserve">as per information from Danish KFOR, </w:t>
      </w:r>
      <w:r w:rsidR="00A37EF7" w:rsidRPr="00627719">
        <w:rPr>
          <w:bCs/>
          <w:lang w:val="en-GB"/>
        </w:rPr>
        <w:t>an explosive device was also used in the attack</w:t>
      </w:r>
      <w:r w:rsidR="00CD0115" w:rsidRPr="00627719">
        <w:rPr>
          <w:bCs/>
          <w:lang w:val="en-GB"/>
        </w:rPr>
        <w:t xml:space="preserve">; </w:t>
      </w:r>
      <w:r w:rsidR="003064B6" w:rsidRPr="00627719">
        <w:rPr>
          <w:bCs/>
          <w:lang w:val="en-GB"/>
        </w:rPr>
        <w:t xml:space="preserve">that </w:t>
      </w:r>
      <w:r w:rsidR="00CD0115" w:rsidRPr="00627719">
        <w:rPr>
          <w:bCs/>
          <w:lang w:val="en-GB"/>
        </w:rPr>
        <w:t>at 23:30, control over the crime scene was given to RIU investigators</w:t>
      </w:r>
      <w:r w:rsidR="00A523B8" w:rsidRPr="00627719">
        <w:rPr>
          <w:bCs/>
          <w:lang w:val="en-GB"/>
        </w:rPr>
        <w:t>;</w:t>
      </w:r>
      <w:bookmarkEnd w:id="5"/>
    </w:p>
    <w:p w:rsidR="003A2D4B" w:rsidRPr="00627719" w:rsidRDefault="003A2D4B" w:rsidP="003A2D4B">
      <w:pPr>
        <w:pStyle w:val="ListParagraph"/>
        <w:rPr>
          <w:bCs/>
          <w:lang w:val="en-GB"/>
        </w:rPr>
      </w:pPr>
    </w:p>
    <w:p w:rsidR="003A2D4B" w:rsidRPr="00627719" w:rsidRDefault="00197556" w:rsidP="00197556">
      <w:pPr>
        <w:widowControl w:val="0"/>
        <w:tabs>
          <w:tab w:val="left" w:pos="990"/>
        </w:tabs>
        <w:suppressAutoHyphens/>
        <w:ind w:left="990" w:hanging="630"/>
        <w:jc w:val="both"/>
        <w:rPr>
          <w:bCs/>
          <w:lang w:val="en-GB"/>
        </w:rPr>
      </w:pPr>
      <w:r w:rsidRPr="00627719">
        <w:rPr>
          <w:bCs/>
          <w:color w:val="000000"/>
          <w:lang w:val="en-GB"/>
        </w:rPr>
        <w:t>(d)</w:t>
      </w:r>
      <w:r w:rsidRPr="00627719">
        <w:rPr>
          <w:bCs/>
          <w:color w:val="000000"/>
          <w:lang w:val="en-GB"/>
        </w:rPr>
        <w:tab/>
      </w:r>
      <w:r w:rsidR="00A523B8" w:rsidRPr="00627719">
        <w:rPr>
          <w:bCs/>
          <w:color w:val="000000"/>
          <w:lang w:val="en-GB"/>
        </w:rPr>
        <w:t xml:space="preserve">the last </w:t>
      </w:r>
      <w:r w:rsidR="00CD0115" w:rsidRPr="00627719">
        <w:rPr>
          <w:bCs/>
          <w:color w:val="000000"/>
          <w:lang w:val="en-GB"/>
        </w:rPr>
        <w:t xml:space="preserve">report </w:t>
      </w:r>
      <w:r w:rsidR="003064B6" w:rsidRPr="00627719">
        <w:rPr>
          <w:bCs/>
          <w:color w:val="000000"/>
          <w:lang w:val="en-GB"/>
        </w:rPr>
        <w:t>by</w:t>
      </w:r>
      <w:r w:rsidR="00CD0115" w:rsidRPr="00627719">
        <w:rPr>
          <w:bCs/>
          <w:color w:val="000000"/>
          <w:lang w:val="en-GB"/>
        </w:rPr>
        <w:t xml:space="preserve"> an UNMIK Police officer f</w:t>
      </w:r>
      <w:r w:rsidR="003064B6" w:rsidRPr="00627719">
        <w:rPr>
          <w:bCs/>
          <w:color w:val="000000"/>
          <w:lang w:val="en-GB"/>
        </w:rPr>
        <w:t>rom</w:t>
      </w:r>
      <w:r w:rsidR="00CD0115" w:rsidRPr="00627719">
        <w:rPr>
          <w:bCs/>
          <w:color w:val="000000"/>
          <w:lang w:val="en-GB"/>
        </w:rPr>
        <w:t xml:space="preserve"> Rahovec/Orahovac </w:t>
      </w:r>
      <w:r w:rsidR="00A37EF7" w:rsidRPr="00627719">
        <w:rPr>
          <w:bCs/>
          <w:color w:val="000000"/>
          <w:lang w:val="en-GB"/>
        </w:rPr>
        <w:t>UNMIK</w:t>
      </w:r>
      <w:r w:rsidR="00A37EF7" w:rsidRPr="00627719">
        <w:rPr>
          <w:bCs/>
          <w:lang w:val="en-GB"/>
        </w:rPr>
        <w:t xml:space="preserve"> P</w:t>
      </w:r>
      <w:r w:rsidR="00CD0115" w:rsidRPr="00627719">
        <w:rPr>
          <w:bCs/>
          <w:lang w:val="en-GB"/>
        </w:rPr>
        <w:t xml:space="preserve">olice station, dated 18 December 1999, reads that on 17 December 1999, at around 21:00, he was informed about a firearm/grenade attack in </w:t>
      </w:r>
      <w:r w:rsidR="003064B6" w:rsidRPr="00627719">
        <w:rPr>
          <w:bCs/>
          <w:lang w:val="en-GB"/>
        </w:rPr>
        <w:t xml:space="preserve">the </w:t>
      </w:r>
      <w:r w:rsidR="00CD0115" w:rsidRPr="00627719">
        <w:rPr>
          <w:bCs/>
          <w:lang w:val="en-GB"/>
        </w:rPr>
        <w:t xml:space="preserve">Serbian quarters of Rahovec/Orahovac; </w:t>
      </w:r>
      <w:r w:rsidR="000C5E5F" w:rsidRPr="00627719">
        <w:rPr>
          <w:bCs/>
          <w:lang w:val="en-GB"/>
        </w:rPr>
        <w:t xml:space="preserve">that upon arrival </w:t>
      </w:r>
      <w:r w:rsidR="00CD0115" w:rsidRPr="00627719">
        <w:rPr>
          <w:bCs/>
          <w:lang w:val="en-GB"/>
        </w:rPr>
        <w:t xml:space="preserve">at the scene shortly thereafter, he was informed of an apartment where </w:t>
      </w:r>
      <w:r w:rsidRPr="00627719">
        <w:rPr>
          <w:bCs/>
          <w:lang w:val="en-GB"/>
        </w:rPr>
        <w:t>the</w:t>
      </w:r>
      <w:r w:rsidR="00CD0115" w:rsidRPr="00627719">
        <w:rPr>
          <w:bCs/>
          <w:lang w:val="en-GB"/>
        </w:rPr>
        <w:t xml:space="preserve"> </w:t>
      </w:r>
      <w:r w:rsidRPr="00627719">
        <w:rPr>
          <w:bCs/>
          <w:lang w:val="en-GB"/>
        </w:rPr>
        <w:t>suspect</w:t>
      </w:r>
      <w:r w:rsidR="008C5019" w:rsidRPr="00627719">
        <w:rPr>
          <w:bCs/>
          <w:lang w:val="en-GB"/>
        </w:rPr>
        <w:t>(</w:t>
      </w:r>
      <w:r w:rsidR="00CD0115" w:rsidRPr="00627719">
        <w:rPr>
          <w:bCs/>
          <w:lang w:val="en-GB"/>
        </w:rPr>
        <w:t>s</w:t>
      </w:r>
      <w:r w:rsidR="008C5019" w:rsidRPr="00627719">
        <w:rPr>
          <w:bCs/>
          <w:lang w:val="en-GB"/>
        </w:rPr>
        <w:t>)</w:t>
      </w:r>
      <w:r w:rsidR="00E6432E" w:rsidRPr="00627719">
        <w:rPr>
          <w:bCs/>
          <w:lang w:val="en-GB"/>
        </w:rPr>
        <w:t xml:space="preserve"> </w:t>
      </w:r>
      <w:r w:rsidRPr="00627719">
        <w:rPr>
          <w:bCs/>
          <w:lang w:val="en-GB"/>
        </w:rPr>
        <w:t>could</w:t>
      </w:r>
      <w:r w:rsidR="00CD0115" w:rsidRPr="00627719">
        <w:rPr>
          <w:bCs/>
          <w:lang w:val="en-GB"/>
        </w:rPr>
        <w:t xml:space="preserve"> have been hiding; </w:t>
      </w:r>
      <w:r w:rsidR="000C5E5F" w:rsidRPr="00627719">
        <w:rPr>
          <w:bCs/>
          <w:lang w:val="en-GB"/>
        </w:rPr>
        <w:t xml:space="preserve">that </w:t>
      </w:r>
      <w:r w:rsidR="00CD0115" w:rsidRPr="00627719">
        <w:rPr>
          <w:bCs/>
          <w:lang w:val="en-GB"/>
        </w:rPr>
        <w:t>the officer observed the apartment until 22:30</w:t>
      </w:r>
      <w:r w:rsidRPr="00627719">
        <w:rPr>
          <w:bCs/>
          <w:lang w:val="en-GB"/>
        </w:rPr>
        <w:t>, and then, “after talking to witnesses, decided that the house and the tenants were not involved in the attack”; at that time the RIU had already arrived at the scene</w:t>
      </w:r>
      <w:r w:rsidR="000C5E5F" w:rsidRPr="00627719">
        <w:rPr>
          <w:bCs/>
          <w:lang w:val="en-GB"/>
        </w:rPr>
        <w:t xml:space="preserve"> and that accordingly</w:t>
      </w:r>
      <w:r w:rsidRPr="00627719">
        <w:rPr>
          <w:bCs/>
          <w:lang w:val="en-GB"/>
        </w:rPr>
        <w:t xml:space="preserve"> the officer returned to the police station.</w:t>
      </w:r>
    </w:p>
    <w:p w:rsidR="00C2799A" w:rsidRPr="00627719" w:rsidRDefault="00C2799A" w:rsidP="00EC64DD">
      <w:pPr>
        <w:pStyle w:val="ListParagraph"/>
        <w:tabs>
          <w:tab w:val="left" w:pos="360"/>
        </w:tabs>
        <w:ind w:left="360" w:hanging="360"/>
        <w:rPr>
          <w:bCs/>
          <w:lang w:val="en-GB"/>
        </w:rPr>
      </w:pPr>
    </w:p>
    <w:p w:rsidR="00CC660B" w:rsidRPr="00627719" w:rsidRDefault="00CC660B" w:rsidP="00CC660B">
      <w:pPr>
        <w:widowControl w:val="0"/>
        <w:numPr>
          <w:ilvl w:val="0"/>
          <w:numId w:val="5"/>
        </w:numPr>
        <w:tabs>
          <w:tab w:val="left" w:pos="360"/>
          <w:tab w:val="left" w:pos="1080"/>
        </w:tabs>
        <w:suppressAutoHyphens/>
        <w:ind w:left="360"/>
        <w:jc w:val="both"/>
        <w:rPr>
          <w:bCs/>
          <w:lang w:val="en-GB"/>
        </w:rPr>
      </w:pPr>
      <w:r w:rsidRPr="00627719">
        <w:rPr>
          <w:bCs/>
          <w:lang w:val="en-GB"/>
        </w:rPr>
        <w:t>A copy of the death certificate issued by the Medical Emergency Unit of Prishtin</w:t>
      </w:r>
      <w:r w:rsidRPr="00627719">
        <w:rPr>
          <w:bCs/>
          <w:lang w:val="ru-RU"/>
        </w:rPr>
        <w:t>ё</w:t>
      </w:r>
      <w:r w:rsidRPr="00627719">
        <w:rPr>
          <w:bCs/>
          <w:lang w:val="en-GB"/>
        </w:rPr>
        <w:t xml:space="preserve">/Priština Hospital on 12 May 2001 confirms that </w:t>
      </w:r>
      <w:r w:rsidRPr="00627719">
        <w:t>Zoran Vukićević</w:t>
      </w:r>
      <w:r w:rsidRPr="00627719">
        <w:rPr>
          <w:bCs/>
          <w:lang w:val="en-GB"/>
        </w:rPr>
        <w:t xml:space="preserve"> had died on 17 December 1999, “on the way from Orahovac to Prizren”, because of brain damage and internal bleeding caused by </w:t>
      </w:r>
      <w:r w:rsidR="00060347" w:rsidRPr="00627719">
        <w:rPr>
          <w:bCs/>
          <w:lang w:val="en-GB"/>
        </w:rPr>
        <w:t xml:space="preserve">firearm and shrapnel </w:t>
      </w:r>
      <w:r w:rsidRPr="00627719">
        <w:rPr>
          <w:bCs/>
          <w:lang w:val="en-GB"/>
        </w:rPr>
        <w:t>wounds to the head and the left side of the chest.</w:t>
      </w:r>
    </w:p>
    <w:p w:rsidR="00D63039" w:rsidRPr="00627719" w:rsidRDefault="00D63039" w:rsidP="00EC64DD">
      <w:pPr>
        <w:tabs>
          <w:tab w:val="left" w:pos="360"/>
        </w:tabs>
        <w:ind w:left="360" w:hanging="360"/>
        <w:jc w:val="both"/>
        <w:rPr>
          <w:lang w:val="en-GB"/>
        </w:rPr>
      </w:pPr>
    </w:p>
    <w:p w:rsidR="002579EE" w:rsidRPr="00627719" w:rsidRDefault="002579EE" w:rsidP="00EC64DD">
      <w:pPr>
        <w:numPr>
          <w:ilvl w:val="0"/>
          <w:numId w:val="15"/>
        </w:numPr>
        <w:tabs>
          <w:tab w:val="left" w:pos="360"/>
        </w:tabs>
        <w:contextualSpacing/>
        <w:jc w:val="both"/>
        <w:rPr>
          <w:b/>
        </w:rPr>
      </w:pPr>
      <w:r w:rsidRPr="00627719">
        <w:rPr>
          <w:b/>
        </w:rPr>
        <w:t>The Investigation</w:t>
      </w:r>
    </w:p>
    <w:p w:rsidR="00503727" w:rsidRPr="00627719" w:rsidRDefault="00503727" w:rsidP="00060347">
      <w:pPr>
        <w:pStyle w:val="Default"/>
        <w:tabs>
          <w:tab w:val="left" w:pos="360"/>
        </w:tabs>
        <w:suppressAutoHyphens/>
        <w:jc w:val="both"/>
        <w:rPr>
          <w:bCs/>
          <w:color w:val="auto"/>
          <w:lang w:val="en-GB"/>
        </w:rPr>
      </w:pPr>
    </w:p>
    <w:p w:rsidR="00BB6E48" w:rsidRPr="00627719" w:rsidRDefault="0012456C" w:rsidP="00EC64DD">
      <w:pPr>
        <w:widowControl w:val="0"/>
        <w:numPr>
          <w:ilvl w:val="0"/>
          <w:numId w:val="5"/>
        </w:numPr>
        <w:tabs>
          <w:tab w:val="left" w:pos="360"/>
          <w:tab w:val="left" w:pos="1080"/>
        </w:tabs>
        <w:suppressAutoHyphens/>
        <w:ind w:left="360"/>
        <w:jc w:val="both"/>
        <w:rPr>
          <w:bCs/>
          <w:lang w:val="en-GB"/>
        </w:rPr>
      </w:pPr>
      <w:bookmarkStart w:id="7" w:name="_Ref347322102"/>
      <w:r w:rsidRPr="00627719">
        <w:rPr>
          <w:bCs/>
          <w:lang w:val="en-GB"/>
        </w:rPr>
        <w:t>N</w:t>
      </w:r>
      <w:r w:rsidR="00D04C96" w:rsidRPr="00627719">
        <w:rPr>
          <w:bCs/>
          <w:lang w:val="en-GB"/>
        </w:rPr>
        <w:t xml:space="preserve">o </w:t>
      </w:r>
      <w:r w:rsidR="00D04C96" w:rsidRPr="00627719">
        <w:rPr>
          <w:lang w:val="en-GB"/>
        </w:rPr>
        <w:t>investigative</w:t>
      </w:r>
      <w:r w:rsidR="003C6DFA" w:rsidRPr="00627719">
        <w:rPr>
          <w:bCs/>
          <w:lang w:val="en-GB"/>
        </w:rPr>
        <w:t xml:space="preserve"> material was</w:t>
      </w:r>
      <w:r w:rsidR="00D04C96" w:rsidRPr="00627719">
        <w:rPr>
          <w:bCs/>
          <w:lang w:val="en-GB"/>
        </w:rPr>
        <w:t xml:space="preserve"> presented to the </w:t>
      </w:r>
      <w:r w:rsidR="005142CD" w:rsidRPr="00627719">
        <w:rPr>
          <w:bCs/>
          <w:lang w:val="en-GB"/>
        </w:rPr>
        <w:t>P</w:t>
      </w:r>
      <w:r w:rsidR="00BB6E48" w:rsidRPr="00627719">
        <w:rPr>
          <w:bCs/>
          <w:lang w:val="en-GB"/>
        </w:rPr>
        <w:t xml:space="preserve">anel </w:t>
      </w:r>
      <w:r w:rsidR="00D04C96" w:rsidRPr="00627719">
        <w:rPr>
          <w:bCs/>
          <w:lang w:val="en-GB"/>
        </w:rPr>
        <w:t>by UNMIK.</w:t>
      </w:r>
      <w:bookmarkEnd w:id="7"/>
    </w:p>
    <w:p w:rsidR="00A37EF7" w:rsidRPr="00627719" w:rsidRDefault="00A37EF7" w:rsidP="00A37EF7">
      <w:pPr>
        <w:widowControl w:val="0"/>
        <w:tabs>
          <w:tab w:val="left" w:pos="360"/>
          <w:tab w:val="left" w:pos="1080"/>
        </w:tabs>
        <w:suppressAutoHyphens/>
        <w:ind w:left="360"/>
        <w:jc w:val="both"/>
        <w:rPr>
          <w:b/>
          <w:lang w:val="en-GB"/>
        </w:rPr>
      </w:pPr>
    </w:p>
    <w:p w:rsidR="00503727" w:rsidRPr="00627719" w:rsidRDefault="000C5E5F" w:rsidP="00060347">
      <w:pPr>
        <w:widowControl w:val="0"/>
        <w:numPr>
          <w:ilvl w:val="0"/>
          <w:numId w:val="5"/>
        </w:numPr>
        <w:tabs>
          <w:tab w:val="left" w:pos="360"/>
          <w:tab w:val="left" w:pos="1080"/>
        </w:tabs>
        <w:suppressAutoHyphens/>
        <w:ind w:left="360"/>
        <w:jc w:val="both"/>
        <w:rPr>
          <w:lang w:val="en-GB"/>
        </w:rPr>
      </w:pPr>
      <w:r w:rsidRPr="00627719">
        <w:rPr>
          <w:bCs/>
          <w:lang w:val="en-GB"/>
        </w:rPr>
        <w:t>Upon</w:t>
      </w:r>
      <w:r w:rsidR="00A37EF7" w:rsidRPr="00627719">
        <w:rPr>
          <w:bCs/>
          <w:lang w:val="en-GB"/>
        </w:rPr>
        <w:t xml:space="preserve"> the Panel’s request, on 4 March 2013, UNMIK Police confirmed that the described </w:t>
      </w:r>
      <w:r w:rsidRPr="00627719">
        <w:rPr>
          <w:bCs/>
          <w:lang w:val="en-GB"/>
        </w:rPr>
        <w:t xml:space="preserve">armed </w:t>
      </w:r>
      <w:r w:rsidR="00A37EF7" w:rsidRPr="00627719">
        <w:rPr>
          <w:bCs/>
          <w:lang w:val="en-GB"/>
        </w:rPr>
        <w:t>attack which caused</w:t>
      </w:r>
      <w:r w:rsidR="007D65BE" w:rsidRPr="00627719">
        <w:rPr>
          <w:bCs/>
          <w:lang w:val="en-GB"/>
        </w:rPr>
        <w:t xml:space="preserve"> the</w:t>
      </w:r>
      <w:r w:rsidR="00A37EF7" w:rsidRPr="00627719">
        <w:rPr>
          <w:bCs/>
          <w:lang w:val="en-GB"/>
        </w:rPr>
        <w:t xml:space="preserve"> death of Zoran </w:t>
      </w:r>
      <w:r w:rsidR="00A37EF7" w:rsidRPr="00627719">
        <w:t>Vukićević</w:t>
      </w:r>
      <w:r w:rsidR="00A37EF7" w:rsidRPr="00627719">
        <w:rPr>
          <w:bCs/>
          <w:lang w:val="en-GB"/>
        </w:rPr>
        <w:t xml:space="preserve"> is not registered in the criminal information</w:t>
      </w:r>
      <w:r w:rsidR="003064B6" w:rsidRPr="00627719">
        <w:rPr>
          <w:bCs/>
          <w:lang w:val="en-GB"/>
        </w:rPr>
        <w:t xml:space="preserve"> database, which was</w:t>
      </w:r>
      <w:r w:rsidR="00A37EF7" w:rsidRPr="00627719">
        <w:rPr>
          <w:bCs/>
          <w:lang w:val="en-GB"/>
        </w:rPr>
        <w:t xml:space="preserve"> created and maintained </w:t>
      </w:r>
      <w:r w:rsidR="003064B6" w:rsidRPr="00627719">
        <w:rPr>
          <w:bCs/>
          <w:lang w:val="en-GB"/>
        </w:rPr>
        <w:t xml:space="preserve">by UNMIK Police </w:t>
      </w:r>
      <w:r w:rsidR="00A37EF7" w:rsidRPr="00627719">
        <w:rPr>
          <w:bCs/>
          <w:lang w:val="en-GB"/>
        </w:rPr>
        <w:t>since 1999.</w:t>
      </w:r>
    </w:p>
    <w:p w:rsidR="00A37EF7" w:rsidRPr="00627719" w:rsidRDefault="00A37EF7" w:rsidP="003064B6">
      <w:pPr>
        <w:pStyle w:val="ListParagraph"/>
        <w:ind w:left="0"/>
        <w:rPr>
          <w:lang w:val="en-GB"/>
        </w:rPr>
      </w:pPr>
    </w:p>
    <w:p w:rsidR="00191948" w:rsidRPr="00627719" w:rsidRDefault="00191948" w:rsidP="00EC64DD">
      <w:pPr>
        <w:pStyle w:val="ListParagraph"/>
        <w:tabs>
          <w:tab w:val="left" w:pos="360"/>
        </w:tabs>
        <w:ind w:left="360" w:hanging="360"/>
        <w:rPr>
          <w:lang w:val="en-GB"/>
        </w:rPr>
      </w:pPr>
    </w:p>
    <w:p w:rsidR="000B5C31" w:rsidRPr="00627719" w:rsidRDefault="000B5C31" w:rsidP="00EC64DD">
      <w:pPr>
        <w:numPr>
          <w:ilvl w:val="0"/>
          <w:numId w:val="2"/>
        </w:numPr>
        <w:tabs>
          <w:tab w:val="left" w:pos="360"/>
        </w:tabs>
        <w:suppressAutoHyphens/>
        <w:autoSpaceDE w:val="0"/>
        <w:ind w:left="360" w:hanging="360"/>
        <w:jc w:val="both"/>
        <w:rPr>
          <w:b/>
          <w:bCs/>
          <w:lang w:val="en-GB"/>
        </w:rPr>
      </w:pPr>
      <w:r w:rsidRPr="00627719">
        <w:rPr>
          <w:b/>
          <w:bCs/>
          <w:lang w:val="en-GB"/>
        </w:rPr>
        <w:t>THE COMPLAINT</w:t>
      </w:r>
    </w:p>
    <w:p w:rsidR="000B5C31" w:rsidRPr="00627719" w:rsidRDefault="000B5C31" w:rsidP="00EC64DD">
      <w:pPr>
        <w:pStyle w:val="ListParagraph"/>
        <w:tabs>
          <w:tab w:val="left" w:pos="360"/>
        </w:tabs>
        <w:ind w:left="360" w:hanging="360"/>
        <w:rPr>
          <w:lang w:val="en-GB"/>
        </w:rPr>
      </w:pPr>
    </w:p>
    <w:p w:rsidR="00E731CB" w:rsidRPr="00627719" w:rsidRDefault="005E641C" w:rsidP="00E731CB">
      <w:pPr>
        <w:widowControl w:val="0"/>
        <w:numPr>
          <w:ilvl w:val="0"/>
          <w:numId w:val="5"/>
        </w:numPr>
        <w:tabs>
          <w:tab w:val="left" w:pos="360"/>
          <w:tab w:val="left" w:pos="1080"/>
        </w:tabs>
        <w:suppressAutoHyphens/>
        <w:ind w:left="360"/>
        <w:jc w:val="both"/>
      </w:pPr>
      <w:bookmarkStart w:id="8" w:name="_Ref341712435"/>
      <w:r w:rsidRPr="00627719">
        <w:t>Insofar as the complaint has been declared admissible, t</w:t>
      </w:r>
      <w:r w:rsidR="008D136A" w:rsidRPr="00627719">
        <w:rPr>
          <w:lang w:val="en-GB"/>
        </w:rPr>
        <w:t>he complainant complains about UNMIK’s alleged failure to pr</w:t>
      </w:r>
      <w:r w:rsidR="00370EF9" w:rsidRPr="00627719">
        <w:rPr>
          <w:lang w:val="en-GB"/>
        </w:rPr>
        <w:t xml:space="preserve">operly investigate </w:t>
      </w:r>
      <w:r w:rsidR="00E731CB" w:rsidRPr="00627719">
        <w:rPr>
          <w:lang w:val="en-GB"/>
        </w:rPr>
        <w:t xml:space="preserve">her husband’s </w:t>
      </w:r>
      <w:r w:rsidR="007D65BE" w:rsidRPr="00627719">
        <w:rPr>
          <w:lang w:val="en-GB"/>
        </w:rPr>
        <w:t>killing</w:t>
      </w:r>
      <w:r w:rsidR="008D136A" w:rsidRPr="00627719">
        <w:rPr>
          <w:lang w:val="en-GB"/>
        </w:rPr>
        <w:t xml:space="preserve">. </w:t>
      </w:r>
      <w:r w:rsidR="000B5C31" w:rsidRPr="00627719">
        <w:t xml:space="preserve">In this regard, the Panel deems that </w:t>
      </w:r>
      <w:r w:rsidR="00E731CB" w:rsidRPr="00627719">
        <w:t>s</w:t>
      </w:r>
      <w:r w:rsidR="000B5C31" w:rsidRPr="00627719">
        <w:t>he invokes a violation of the procedural limb of Article 2 of the European Convention on Human Rights (ECHR).</w:t>
      </w:r>
      <w:bookmarkEnd w:id="8"/>
    </w:p>
    <w:p w:rsidR="00D04C96" w:rsidRDefault="00D04C96" w:rsidP="00EC64DD">
      <w:pPr>
        <w:tabs>
          <w:tab w:val="left" w:pos="360"/>
        </w:tabs>
        <w:ind w:left="360" w:hanging="360"/>
        <w:jc w:val="both"/>
      </w:pPr>
    </w:p>
    <w:p w:rsidR="009E7983" w:rsidRPr="00627719" w:rsidRDefault="009E7983" w:rsidP="00EC64DD">
      <w:pPr>
        <w:tabs>
          <w:tab w:val="left" w:pos="360"/>
        </w:tabs>
        <w:ind w:left="360" w:hanging="360"/>
        <w:jc w:val="both"/>
      </w:pPr>
    </w:p>
    <w:p w:rsidR="007551D8" w:rsidRPr="00627719" w:rsidRDefault="007551D8" w:rsidP="00EC64DD">
      <w:pPr>
        <w:numPr>
          <w:ilvl w:val="0"/>
          <w:numId w:val="2"/>
        </w:numPr>
        <w:tabs>
          <w:tab w:val="left" w:pos="360"/>
        </w:tabs>
        <w:suppressAutoHyphens/>
        <w:autoSpaceDE w:val="0"/>
        <w:ind w:left="360" w:hanging="360"/>
        <w:jc w:val="both"/>
        <w:rPr>
          <w:b/>
          <w:bCs/>
          <w:lang w:val="en-GB"/>
        </w:rPr>
      </w:pPr>
      <w:r w:rsidRPr="00627719">
        <w:rPr>
          <w:b/>
          <w:bCs/>
          <w:lang w:val="en-GB"/>
        </w:rPr>
        <w:t>THE LAW</w:t>
      </w:r>
    </w:p>
    <w:p w:rsidR="00A47CBB" w:rsidRPr="00627719" w:rsidRDefault="00A47CBB" w:rsidP="00EC64DD">
      <w:pPr>
        <w:tabs>
          <w:tab w:val="left" w:pos="360"/>
        </w:tabs>
        <w:autoSpaceDE w:val="0"/>
        <w:ind w:left="360" w:hanging="360"/>
        <w:contextualSpacing/>
        <w:jc w:val="both"/>
        <w:rPr>
          <w:bCs/>
        </w:rPr>
      </w:pPr>
    </w:p>
    <w:p w:rsidR="007551D8" w:rsidRPr="00627719" w:rsidRDefault="00A47CBB" w:rsidP="00EC64DD">
      <w:pPr>
        <w:pStyle w:val="ListParagraph"/>
        <w:numPr>
          <w:ilvl w:val="0"/>
          <w:numId w:val="34"/>
        </w:numPr>
        <w:tabs>
          <w:tab w:val="left" w:pos="360"/>
        </w:tabs>
        <w:autoSpaceDE w:val="0"/>
        <w:ind w:left="360"/>
        <w:contextualSpacing/>
        <w:jc w:val="both"/>
        <w:rPr>
          <w:b/>
          <w:bCs/>
        </w:rPr>
      </w:pPr>
      <w:r w:rsidRPr="00627719">
        <w:rPr>
          <w:b/>
          <w:bCs/>
        </w:rPr>
        <w:t>T</w:t>
      </w:r>
      <w:r w:rsidR="007551D8" w:rsidRPr="00627719">
        <w:rPr>
          <w:b/>
          <w:bCs/>
        </w:rPr>
        <w:t>he scope of the Panel’s review</w:t>
      </w:r>
    </w:p>
    <w:p w:rsidR="00503727" w:rsidRPr="00627719" w:rsidRDefault="00503727" w:rsidP="00EC64DD">
      <w:pPr>
        <w:pStyle w:val="ListParagraph"/>
        <w:tabs>
          <w:tab w:val="left" w:pos="360"/>
        </w:tabs>
        <w:ind w:left="360" w:hanging="360"/>
        <w:rPr>
          <w:lang w:val="en-GB"/>
        </w:rPr>
      </w:pPr>
    </w:p>
    <w:p w:rsidR="00503727" w:rsidRPr="00627719" w:rsidRDefault="00503727" w:rsidP="00E731CB">
      <w:pPr>
        <w:widowControl w:val="0"/>
        <w:numPr>
          <w:ilvl w:val="0"/>
          <w:numId w:val="5"/>
        </w:numPr>
        <w:tabs>
          <w:tab w:val="left" w:pos="360"/>
          <w:tab w:val="left" w:pos="1080"/>
        </w:tabs>
        <w:suppressAutoHyphens/>
        <w:ind w:left="360"/>
        <w:jc w:val="both"/>
        <w:rPr>
          <w:color w:val="000000"/>
        </w:rPr>
      </w:pPr>
      <w:r w:rsidRPr="00627719">
        <w:rPr>
          <w:color w:val="000000"/>
        </w:rPr>
        <w:t>In determining whether it considers that there has been a violation of Article 2 (procedural limb) and of Article 3 of the ECHR, the Panel  is mindful of the existing case</w:t>
      </w:r>
      <w:r w:rsidR="00E4269E" w:rsidRPr="00627719">
        <w:rPr>
          <w:color w:val="000000"/>
        </w:rPr>
        <w:t>-</w:t>
      </w:r>
      <w:r w:rsidRPr="00627719">
        <w:rPr>
          <w:color w:val="000000"/>
        </w:rPr>
        <w:t xml:space="preserv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ECHR Article 2.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 </w:t>
      </w:r>
    </w:p>
    <w:p w:rsidR="00503727" w:rsidRPr="00627719" w:rsidRDefault="00503727" w:rsidP="00503727">
      <w:pPr>
        <w:autoSpaceDE w:val="0"/>
        <w:ind w:left="360"/>
        <w:jc w:val="both"/>
        <w:rPr>
          <w:bCs/>
          <w:color w:val="000000"/>
        </w:rPr>
      </w:pPr>
    </w:p>
    <w:p w:rsidR="00503727" w:rsidRPr="00627719" w:rsidRDefault="00503727" w:rsidP="00E731CB">
      <w:pPr>
        <w:widowControl w:val="0"/>
        <w:numPr>
          <w:ilvl w:val="0"/>
          <w:numId w:val="5"/>
        </w:numPr>
        <w:tabs>
          <w:tab w:val="left" w:pos="360"/>
          <w:tab w:val="left" w:pos="1080"/>
        </w:tabs>
        <w:suppressAutoHyphens/>
        <w:ind w:left="360"/>
        <w:jc w:val="both"/>
        <w:rPr>
          <w:bCs/>
          <w:color w:val="000000"/>
        </w:rPr>
      </w:pPr>
      <w:r w:rsidRPr="00627719">
        <w:rPr>
          <w:bCs/>
          <w:color w:val="000000"/>
        </w:rPr>
        <w:t xml:space="preserve">Before turning to the examination of the merits of the complaint, the Panel needs to </w:t>
      </w:r>
      <w:r w:rsidRPr="00627719">
        <w:rPr>
          <w:color w:val="000000"/>
        </w:rPr>
        <w:t>clarify</w:t>
      </w:r>
      <w:r w:rsidRPr="00627719">
        <w:rPr>
          <w:bCs/>
          <w:color w:val="000000"/>
        </w:rPr>
        <w:t xml:space="preserve"> the scope of its review.</w:t>
      </w:r>
    </w:p>
    <w:p w:rsidR="00503727" w:rsidRPr="00627719" w:rsidRDefault="00503727" w:rsidP="00503727">
      <w:pPr>
        <w:tabs>
          <w:tab w:val="left" w:pos="357"/>
        </w:tabs>
        <w:autoSpaceDE w:val="0"/>
        <w:ind w:left="357" w:hanging="357"/>
        <w:jc w:val="both"/>
        <w:rPr>
          <w:bCs/>
          <w:color w:val="000000"/>
        </w:rPr>
      </w:pPr>
    </w:p>
    <w:p w:rsidR="00503727" w:rsidRPr="00627719" w:rsidRDefault="00503727" w:rsidP="00E731CB">
      <w:pPr>
        <w:widowControl w:val="0"/>
        <w:numPr>
          <w:ilvl w:val="0"/>
          <w:numId w:val="5"/>
        </w:numPr>
        <w:tabs>
          <w:tab w:val="left" w:pos="360"/>
          <w:tab w:val="left" w:pos="1080"/>
        </w:tabs>
        <w:suppressAutoHyphens/>
        <w:ind w:left="360"/>
        <w:jc w:val="both"/>
        <w:rPr>
          <w:color w:val="000000"/>
        </w:rPr>
      </w:pPr>
      <w:r w:rsidRPr="00627719">
        <w:rPr>
          <w:color w:val="000000"/>
          <w:lang w:eastAsia="nl-BE"/>
        </w:rPr>
        <w:t>The Panel notes that with the adoption of the UNMIK Regulation No. 1999/1 on 25 July 1999 UNMIK undertook an obligation to observe internationally recognised human rights standards in exercising its functions. This undertaking was detailed  in UNMIK Regulation No. 1999/24 of 12 December 1999, by which UNMIK assumed obligations under the following human rights instruments</w:t>
      </w:r>
      <w:r w:rsidRPr="00627719">
        <w:rPr>
          <w:color w:val="000000"/>
        </w:rPr>
        <w:t>: the Universal Declaration of Human Rights, the European Convention on Human Rights and Protocols thereto, the International Covenant on Civil and Political Rights (ICCPR), the International</w:t>
      </w:r>
      <w:r w:rsidRPr="00627719">
        <w:rPr>
          <w:color w:val="4F81BD"/>
        </w:rPr>
        <w:t xml:space="preserve"> </w:t>
      </w:r>
      <w:r w:rsidRPr="00627719">
        <w:rPr>
          <w:color w:val="000000"/>
        </w:rPr>
        <w:t xml:space="preserve">Covenant on Economic, Social and Cultural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w:t>
      </w:r>
    </w:p>
    <w:p w:rsidR="00503727" w:rsidRPr="00627719" w:rsidRDefault="00503727" w:rsidP="00503727">
      <w:pPr>
        <w:tabs>
          <w:tab w:val="left" w:pos="357"/>
        </w:tabs>
        <w:autoSpaceDE w:val="0"/>
        <w:jc w:val="both"/>
        <w:rPr>
          <w:bCs/>
          <w:color w:val="000000"/>
        </w:rPr>
      </w:pPr>
    </w:p>
    <w:p w:rsidR="00503727" w:rsidRPr="00627719" w:rsidRDefault="00503727" w:rsidP="00E731CB">
      <w:pPr>
        <w:widowControl w:val="0"/>
        <w:numPr>
          <w:ilvl w:val="0"/>
          <w:numId w:val="5"/>
        </w:numPr>
        <w:tabs>
          <w:tab w:val="left" w:pos="360"/>
          <w:tab w:val="left" w:pos="1080"/>
        </w:tabs>
        <w:suppressAutoHyphens/>
        <w:ind w:left="360"/>
        <w:jc w:val="both"/>
        <w:rPr>
          <w:color w:val="000000"/>
        </w:rPr>
      </w:pPr>
      <w:r w:rsidRPr="00627719">
        <w:rPr>
          <w:color w:val="000000"/>
        </w:rPr>
        <w:t xml:space="preserve">The Panel also notes that Section 1.2 of UNMIK Regulation No. 2006/12 of 23 March 2006 on the Establishment of the Human Rights Advisory Panel provides that the Panel “shall examine complaints from any person or group of individuals claiming to be the victim of a violation by UNMIK of (their) human rights”. It follows that only acts or omissions attributable to UNMIK fall within the jurisdiction ratione personae of the Panel. In this respect, it should be noted, as stated above, that as of 9 December 2008, UNMIK no longer exercises executive authority over the Kosovo judiciary and law enforcement machinery. Therefore UNMIK bears no responsibility for any violation of human rights allegedly committed by those bodies. Insofar as the complainant complains about acts that occurred after that date, they fall outside the jurisdiction </w:t>
      </w:r>
      <w:r w:rsidRPr="009E7983">
        <w:rPr>
          <w:i/>
          <w:color w:val="000000"/>
        </w:rPr>
        <w:t>ratione personae</w:t>
      </w:r>
      <w:r w:rsidRPr="00627719">
        <w:rPr>
          <w:color w:val="000000"/>
        </w:rPr>
        <w:t xml:space="preserve"> of the Panel.</w:t>
      </w:r>
    </w:p>
    <w:p w:rsidR="00503727" w:rsidRPr="00627719" w:rsidRDefault="00503727" w:rsidP="00503727">
      <w:pPr>
        <w:pStyle w:val="ListParagraph"/>
        <w:rPr>
          <w:color w:val="000000"/>
        </w:rPr>
      </w:pPr>
    </w:p>
    <w:p w:rsidR="00503727" w:rsidRPr="00627719" w:rsidRDefault="00503727" w:rsidP="00E731CB">
      <w:pPr>
        <w:widowControl w:val="0"/>
        <w:numPr>
          <w:ilvl w:val="0"/>
          <w:numId w:val="5"/>
        </w:numPr>
        <w:tabs>
          <w:tab w:val="left" w:pos="360"/>
          <w:tab w:val="left" w:pos="1080"/>
        </w:tabs>
        <w:suppressAutoHyphens/>
        <w:ind w:left="360"/>
        <w:jc w:val="both"/>
        <w:rPr>
          <w:color w:val="000000"/>
        </w:rPr>
      </w:pPr>
      <w:r w:rsidRPr="00627719">
        <w:rPr>
          <w:color w:val="000000"/>
        </w:rPr>
        <w:t xml:space="preserve">Likewise, the Panel emphasises that, as far as its jurisdiction </w:t>
      </w:r>
      <w:r w:rsidRPr="009E7983">
        <w:rPr>
          <w:i/>
          <w:color w:val="000000"/>
        </w:rPr>
        <w:t>ratione materiae</w:t>
      </w:r>
      <w:r w:rsidRPr="00627719">
        <w:rPr>
          <w:color w:val="000000"/>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 52).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p>
    <w:p w:rsidR="00503727" w:rsidRPr="00627719" w:rsidRDefault="00503727" w:rsidP="00E731CB">
      <w:pPr>
        <w:widowControl w:val="0"/>
        <w:tabs>
          <w:tab w:val="left" w:pos="360"/>
          <w:tab w:val="left" w:pos="1080"/>
        </w:tabs>
        <w:suppressAutoHyphens/>
        <w:ind w:left="360"/>
        <w:jc w:val="both"/>
        <w:rPr>
          <w:color w:val="000000"/>
        </w:rPr>
      </w:pPr>
    </w:p>
    <w:p w:rsidR="00503727" w:rsidRPr="00627719" w:rsidRDefault="00503727" w:rsidP="00E731CB">
      <w:pPr>
        <w:widowControl w:val="0"/>
        <w:numPr>
          <w:ilvl w:val="0"/>
          <w:numId w:val="5"/>
        </w:numPr>
        <w:tabs>
          <w:tab w:val="left" w:pos="360"/>
          <w:tab w:val="left" w:pos="1080"/>
        </w:tabs>
        <w:suppressAutoHyphens/>
        <w:ind w:left="360"/>
        <w:jc w:val="both"/>
        <w:rPr>
          <w:color w:val="000000"/>
        </w:rPr>
      </w:pPr>
      <w:bookmarkStart w:id="9" w:name="_Ref350156751"/>
      <w:r w:rsidRPr="00627719">
        <w:rPr>
          <w:color w:val="000000"/>
        </w:rPr>
        <w:t xml:space="preserve">The Panel further notes that Section 2 of UNMIK Regulation No. 2006/12 provides that the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9E7983">
        <w:rPr>
          <w:i/>
          <w:color w:val="000000"/>
        </w:rPr>
        <w:t>ratione temporis</w:t>
      </w:r>
      <w:r w:rsidRPr="00627719">
        <w:rPr>
          <w:color w:val="000000"/>
        </w:rPr>
        <w:t xml:space="preserve"> of the Panel. However, to the extent that such events gave rise to a continuing situation, the Panel has jurisdiction to examine complaints relating to that situation (see European Court of Human Rights (ECtHR) Grand Chamber [GC], </w:t>
      </w:r>
      <w:r w:rsidRPr="00627719">
        <w:rPr>
          <w:i/>
          <w:color w:val="000000"/>
        </w:rPr>
        <w:t>Varnava and Others v. Turkey</w:t>
      </w:r>
      <w:r w:rsidRPr="00627719">
        <w:rPr>
          <w:color w:val="000000"/>
        </w:rPr>
        <w:t xml:space="preserve">, nos. 16064/90 and others, judgment of 18 September 2009, §§ 147-149; ECtHR [GC], </w:t>
      </w:r>
      <w:r w:rsidRPr="00627719">
        <w:rPr>
          <w:i/>
          <w:color w:val="000000"/>
        </w:rPr>
        <w:t>Cyprus v. Turkey</w:t>
      </w:r>
      <w:r w:rsidRPr="00627719">
        <w:rPr>
          <w:color w:val="000000"/>
        </w:rPr>
        <w:t>, no. 25781/94, judgment of 10 May 2011, § 136, ECHR 2001-IV).</w:t>
      </w:r>
      <w:bookmarkEnd w:id="9"/>
      <w:r w:rsidRPr="00627719">
        <w:rPr>
          <w:color w:val="000000"/>
        </w:rPr>
        <w:t xml:space="preserve"> </w:t>
      </w:r>
    </w:p>
    <w:p w:rsidR="00503727" w:rsidRPr="00627719" w:rsidRDefault="00503727" w:rsidP="00EC64DD">
      <w:pPr>
        <w:pStyle w:val="ListParagraph"/>
        <w:tabs>
          <w:tab w:val="left" w:pos="360"/>
        </w:tabs>
        <w:ind w:left="360" w:hanging="360"/>
        <w:rPr>
          <w:color w:val="000000"/>
        </w:rPr>
      </w:pPr>
    </w:p>
    <w:p w:rsidR="00B712F3" w:rsidRPr="00627719" w:rsidRDefault="00B712F3" w:rsidP="00EC64DD">
      <w:pPr>
        <w:pStyle w:val="ListParagraph"/>
        <w:numPr>
          <w:ilvl w:val="0"/>
          <w:numId w:val="34"/>
        </w:numPr>
        <w:tabs>
          <w:tab w:val="left" w:pos="360"/>
        </w:tabs>
        <w:autoSpaceDE w:val="0"/>
        <w:ind w:left="360"/>
        <w:contextualSpacing/>
        <w:jc w:val="both"/>
        <w:rPr>
          <w:b/>
          <w:color w:val="000000"/>
          <w:lang w:val="en-GB"/>
        </w:rPr>
      </w:pPr>
      <w:r w:rsidRPr="00627719">
        <w:rPr>
          <w:b/>
          <w:color w:val="000000"/>
          <w:lang w:val="en-GB"/>
        </w:rPr>
        <w:t xml:space="preserve">Alleged violation of </w:t>
      </w:r>
      <w:r w:rsidRPr="00627719">
        <w:rPr>
          <w:b/>
          <w:color w:val="000000"/>
        </w:rPr>
        <w:t>the procedural obligation under</w:t>
      </w:r>
      <w:r w:rsidRPr="00627719">
        <w:rPr>
          <w:b/>
          <w:i/>
          <w:color w:val="000000"/>
        </w:rPr>
        <w:t xml:space="preserve"> </w:t>
      </w:r>
      <w:r w:rsidRPr="00627719">
        <w:rPr>
          <w:b/>
          <w:color w:val="000000"/>
          <w:lang w:val="en-GB"/>
        </w:rPr>
        <w:t>Article 2 of the ECHR</w:t>
      </w:r>
    </w:p>
    <w:p w:rsidR="00407B13" w:rsidRPr="00627719" w:rsidRDefault="00407B13" w:rsidP="00407B13">
      <w:pPr>
        <w:tabs>
          <w:tab w:val="left" w:pos="360"/>
        </w:tabs>
        <w:suppressAutoHyphens/>
        <w:autoSpaceDE w:val="0"/>
        <w:ind w:left="360"/>
        <w:jc w:val="both"/>
        <w:rPr>
          <w:bCs/>
          <w:color w:val="000000"/>
        </w:rPr>
      </w:pPr>
    </w:p>
    <w:p w:rsidR="00B21A61" w:rsidRPr="00627719" w:rsidRDefault="00B21A61" w:rsidP="00EC64DD">
      <w:pPr>
        <w:numPr>
          <w:ilvl w:val="1"/>
          <w:numId w:val="5"/>
        </w:numPr>
        <w:tabs>
          <w:tab w:val="clear" w:pos="-720"/>
          <w:tab w:val="left" w:pos="360"/>
          <w:tab w:val="num" w:pos="630"/>
        </w:tabs>
        <w:suppressAutoHyphens/>
        <w:autoSpaceDE w:val="0"/>
        <w:ind w:left="360"/>
        <w:jc w:val="both"/>
        <w:rPr>
          <w:b/>
          <w:bCs/>
          <w:color w:val="000000"/>
          <w:lang w:val="en-GB"/>
        </w:rPr>
      </w:pPr>
      <w:r w:rsidRPr="00627719">
        <w:rPr>
          <w:b/>
          <w:color w:val="000000"/>
        </w:rPr>
        <w:t>T</w:t>
      </w:r>
      <w:r w:rsidRPr="00627719">
        <w:rPr>
          <w:b/>
          <w:bCs/>
          <w:color w:val="000000"/>
          <w:lang w:val="en-GB"/>
        </w:rPr>
        <w:t xml:space="preserve">he </w:t>
      </w:r>
      <w:r w:rsidR="00B12B1D" w:rsidRPr="00627719">
        <w:rPr>
          <w:b/>
          <w:bCs/>
          <w:color w:val="000000"/>
          <w:lang w:val="en-GB"/>
        </w:rPr>
        <w:t>P</w:t>
      </w:r>
      <w:r w:rsidRPr="00627719">
        <w:rPr>
          <w:b/>
          <w:bCs/>
          <w:color w:val="000000"/>
          <w:lang w:val="en-GB"/>
        </w:rPr>
        <w:t>arties’ submissions</w:t>
      </w:r>
    </w:p>
    <w:p w:rsidR="00407B13" w:rsidRPr="00627719" w:rsidRDefault="00407B13" w:rsidP="00EC64DD">
      <w:pPr>
        <w:tabs>
          <w:tab w:val="left" w:pos="360"/>
        </w:tabs>
        <w:suppressAutoHyphens/>
        <w:autoSpaceDE w:val="0"/>
        <w:ind w:left="360" w:hanging="360"/>
        <w:jc w:val="both"/>
        <w:rPr>
          <w:bCs/>
          <w:color w:val="000000"/>
          <w:lang w:val="en-GB"/>
        </w:rPr>
      </w:pPr>
    </w:p>
    <w:p w:rsidR="00407B13" w:rsidRPr="00627719" w:rsidRDefault="00407B13" w:rsidP="00407B13">
      <w:pPr>
        <w:numPr>
          <w:ilvl w:val="0"/>
          <w:numId w:val="5"/>
        </w:numPr>
        <w:tabs>
          <w:tab w:val="left" w:pos="360"/>
        </w:tabs>
        <w:suppressAutoHyphens/>
        <w:autoSpaceDE w:val="0"/>
        <w:ind w:left="360"/>
        <w:jc w:val="both"/>
        <w:rPr>
          <w:bCs/>
        </w:rPr>
      </w:pPr>
      <w:r w:rsidRPr="00627719">
        <w:rPr>
          <w:color w:val="000000"/>
        </w:rPr>
        <w:t>The complainant in substance alleges violations concerning the lack of an adequate</w:t>
      </w:r>
      <w:r w:rsidRPr="00627719">
        <w:t xml:space="preserve"> criminal investigation into the </w:t>
      </w:r>
      <w:r w:rsidR="000704D7" w:rsidRPr="00627719">
        <w:t xml:space="preserve">killing </w:t>
      </w:r>
      <w:r w:rsidR="00FE5D67" w:rsidRPr="00627719">
        <w:t>of Zoran Vukićević</w:t>
      </w:r>
      <w:r w:rsidRPr="00627719">
        <w:t>. The complainant also states that she was not informed as to whether an investigation was cond</w:t>
      </w:r>
      <w:r w:rsidR="00FE5D67" w:rsidRPr="00627719">
        <w:t>ucted and what the outcome was.</w:t>
      </w:r>
    </w:p>
    <w:p w:rsidR="00DF2EAB" w:rsidRPr="00627719" w:rsidRDefault="00DF2EAB" w:rsidP="00EC64DD">
      <w:pPr>
        <w:pStyle w:val="ListParagraph"/>
        <w:tabs>
          <w:tab w:val="left" w:pos="360"/>
          <w:tab w:val="left" w:pos="1875"/>
        </w:tabs>
        <w:ind w:left="360" w:hanging="360"/>
        <w:rPr>
          <w:bCs/>
        </w:rPr>
      </w:pPr>
    </w:p>
    <w:p w:rsidR="00FA27C4" w:rsidRPr="00627719" w:rsidRDefault="00FA27C4" w:rsidP="00EC64DD">
      <w:pPr>
        <w:numPr>
          <w:ilvl w:val="0"/>
          <w:numId w:val="5"/>
        </w:numPr>
        <w:tabs>
          <w:tab w:val="left" w:pos="360"/>
        </w:tabs>
        <w:suppressAutoHyphens/>
        <w:autoSpaceDE w:val="0"/>
        <w:ind w:left="360"/>
        <w:jc w:val="both"/>
        <w:rPr>
          <w:b/>
          <w:color w:val="000000"/>
          <w:lang w:val="en-GB"/>
        </w:rPr>
      </w:pPr>
      <w:bookmarkStart w:id="10" w:name="_Ref347846976"/>
      <w:r w:rsidRPr="00627719">
        <w:rPr>
          <w:bCs/>
          <w:lang w:val="en-GB"/>
        </w:rPr>
        <w:t>The SRSG argues</w:t>
      </w:r>
      <w:r w:rsidR="00895F4A" w:rsidRPr="00627719">
        <w:rPr>
          <w:bCs/>
          <w:lang w:val="en-GB"/>
        </w:rPr>
        <w:t xml:space="preserve"> </w:t>
      </w:r>
      <w:r w:rsidRPr="00627719">
        <w:rPr>
          <w:bCs/>
          <w:lang w:val="en-GB"/>
        </w:rPr>
        <w:t>that in general, when considering whether UNMIK has satisfied its procedural obligations under Article 2 of the ECHR, the Panel must take into consideration the speci</w:t>
      </w:r>
      <w:r w:rsidR="00AF43E2" w:rsidRPr="00627719">
        <w:rPr>
          <w:bCs/>
          <w:lang w:val="en-GB"/>
        </w:rPr>
        <w:t>al circumstances in</w:t>
      </w:r>
      <w:r w:rsidRPr="00627719">
        <w:rPr>
          <w:bCs/>
          <w:lang w:val="en-GB"/>
        </w:rPr>
        <w:t xml:space="preserve"> Kosovo at the time. This was especially the case in the initial stage of its </w:t>
      </w:r>
      <w:r w:rsidR="00092686" w:rsidRPr="00627719">
        <w:rPr>
          <w:bCs/>
          <w:lang w:val="en-GB"/>
        </w:rPr>
        <w:t>deployment</w:t>
      </w:r>
      <w:r w:rsidRPr="00627719">
        <w:rPr>
          <w:bCs/>
          <w:lang w:val="en-GB"/>
        </w:rPr>
        <w:t xml:space="preserve">, the period during which </w:t>
      </w:r>
      <w:r w:rsidR="005E641C" w:rsidRPr="00627719">
        <w:t>Zoran Vukićević</w:t>
      </w:r>
      <w:r w:rsidRPr="00627719">
        <w:rPr>
          <w:bCs/>
          <w:lang w:val="en-GB"/>
        </w:rPr>
        <w:t xml:space="preserve">’s </w:t>
      </w:r>
      <w:r w:rsidR="005E641C" w:rsidRPr="00627719">
        <w:rPr>
          <w:bCs/>
          <w:color w:val="000000"/>
          <w:lang w:val="en-GB"/>
        </w:rPr>
        <w:t xml:space="preserve">killing </w:t>
      </w:r>
      <w:r w:rsidRPr="00627719">
        <w:rPr>
          <w:bCs/>
          <w:color w:val="000000"/>
          <w:lang w:val="en-GB"/>
        </w:rPr>
        <w:t>occurred.</w:t>
      </w:r>
      <w:bookmarkEnd w:id="10"/>
    </w:p>
    <w:p w:rsidR="00FA27C4" w:rsidRPr="00627719" w:rsidRDefault="00FA27C4" w:rsidP="00EC64DD">
      <w:pPr>
        <w:pStyle w:val="ListParagraph"/>
        <w:tabs>
          <w:tab w:val="left" w:pos="360"/>
        </w:tabs>
        <w:ind w:left="360" w:hanging="360"/>
        <w:rPr>
          <w:b/>
          <w:bCs/>
          <w:color w:val="000000"/>
          <w:lang w:val="en-GB"/>
        </w:rPr>
      </w:pPr>
    </w:p>
    <w:p w:rsidR="005803CA" w:rsidRPr="00627719" w:rsidRDefault="00FA27C4" w:rsidP="00EC64DD">
      <w:pPr>
        <w:numPr>
          <w:ilvl w:val="0"/>
          <w:numId w:val="5"/>
        </w:numPr>
        <w:tabs>
          <w:tab w:val="left" w:pos="360"/>
        </w:tabs>
        <w:suppressAutoHyphens/>
        <w:autoSpaceDE w:val="0"/>
        <w:ind w:left="360"/>
        <w:jc w:val="both"/>
        <w:rPr>
          <w:lang w:val="en-GB"/>
        </w:rPr>
      </w:pPr>
      <w:bookmarkStart w:id="11" w:name="_Ref342314548"/>
      <w:r w:rsidRPr="00627719">
        <w:rPr>
          <w:bCs/>
          <w:lang w:val="en-GB"/>
        </w:rPr>
        <w:t xml:space="preserve">The SRSG highlights that </w:t>
      </w:r>
      <w:r w:rsidR="000C5E5F" w:rsidRPr="00627719">
        <w:rPr>
          <w:bCs/>
          <w:lang w:val="en-GB"/>
        </w:rPr>
        <w:t xml:space="preserve">a </w:t>
      </w:r>
      <w:r w:rsidR="005E641C" w:rsidRPr="00627719">
        <w:rPr>
          <w:bCs/>
          <w:lang w:val="en-GB"/>
        </w:rPr>
        <w:t>professional, well</w:t>
      </w:r>
      <w:r w:rsidR="000C5E5F" w:rsidRPr="00627719">
        <w:rPr>
          <w:bCs/>
          <w:lang w:val="en-GB"/>
        </w:rPr>
        <w:t>-</w:t>
      </w:r>
      <w:r w:rsidR="005E641C" w:rsidRPr="00627719">
        <w:rPr>
          <w:bCs/>
          <w:lang w:val="en-GB"/>
        </w:rPr>
        <w:t>trained and well</w:t>
      </w:r>
      <w:r w:rsidR="000704D7" w:rsidRPr="00627719">
        <w:rPr>
          <w:bCs/>
          <w:lang w:val="en-GB"/>
        </w:rPr>
        <w:t>-</w:t>
      </w:r>
      <w:r w:rsidR="005E641C" w:rsidRPr="00627719">
        <w:rPr>
          <w:bCs/>
          <w:lang w:val="en-GB"/>
        </w:rPr>
        <w:t>resourced police force</w:t>
      </w:r>
      <w:r w:rsidR="00CF185F" w:rsidRPr="00627719">
        <w:rPr>
          <w:bCs/>
          <w:lang w:val="en-GB"/>
        </w:rPr>
        <w:t xml:space="preserve"> did not exist in Kosovo at the time of UNMIK’s deployment in 1999 and</w:t>
      </w:r>
      <w:r w:rsidR="000C5E5F" w:rsidRPr="00627719">
        <w:rPr>
          <w:bCs/>
          <w:lang w:val="en-GB"/>
        </w:rPr>
        <w:t xml:space="preserve"> that </w:t>
      </w:r>
      <w:r w:rsidR="00CF185F" w:rsidRPr="00627719">
        <w:rPr>
          <w:bCs/>
          <w:lang w:val="en-GB"/>
        </w:rPr>
        <w:t>it had to be established from scratch, progressively developed, and attuned to the principles of democratic policing. The SRSG further submits that this process is still ongoing, which is evidenced by the deployment of the EULEX Police with a total strength of approximately 1,40</w:t>
      </w:r>
      <w:r w:rsidR="005803CA" w:rsidRPr="00627719">
        <w:rPr>
          <w:bCs/>
          <w:lang w:val="en-GB"/>
        </w:rPr>
        <w:t xml:space="preserve">0 international police officers, in an effort to build a multi-ethnic police free from political interference and able to serve the people of Kosovo; while investigating such crimes </w:t>
      </w:r>
      <w:r w:rsidRPr="00627719">
        <w:rPr>
          <w:bCs/>
          <w:lang w:val="en-GB"/>
        </w:rPr>
        <w:t xml:space="preserve">UNMIK </w:t>
      </w:r>
      <w:r w:rsidR="005E641C" w:rsidRPr="00627719">
        <w:rPr>
          <w:bCs/>
          <w:lang w:val="en-GB"/>
        </w:rPr>
        <w:t xml:space="preserve">Police </w:t>
      </w:r>
      <w:bookmarkEnd w:id="11"/>
      <w:r w:rsidR="005803CA" w:rsidRPr="00627719">
        <w:rPr>
          <w:bCs/>
          <w:lang w:val="en-GB"/>
        </w:rPr>
        <w:t>had to adjust to conducting investigations in a foreign territory and cultures, when the fledging local police force could only provide a limited amount of support</w:t>
      </w:r>
      <w:r w:rsidR="000C5E5F" w:rsidRPr="00627719">
        <w:rPr>
          <w:bCs/>
          <w:lang w:val="en-GB"/>
        </w:rPr>
        <w:t>,</w:t>
      </w:r>
      <w:r w:rsidR="005803CA" w:rsidRPr="00627719">
        <w:rPr>
          <w:bCs/>
          <w:lang w:val="en-GB"/>
        </w:rPr>
        <w:t xml:space="preserve"> in many cases due to a lack of capacity and capability amongst its officers.</w:t>
      </w:r>
    </w:p>
    <w:p w:rsidR="005803CA" w:rsidRPr="00627719" w:rsidRDefault="005803CA" w:rsidP="005803CA">
      <w:pPr>
        <w:pStyle w:val="ListParagraph"/>
        <w:rPr>
          <w:bCs/>
          <w:lang w:val="en-GB"/>
        </w:rPr>
      </w:pPr>
    </w:p>
    <w:p w:rsidR="00D91F29" w:rsidRPr="00627719" w:rsidRDefault="005803CA" w:rsidP="00EC64DD">
      <w:pPr>
        <w:numPr>
          <w:ilvl w:val="0"/>
          <w:numId w:val="5"/>
        </w:numPr>
        <w:tabs>
          <w:tab w:val="left" w:pos="360"/>
        </w:tabs>
        <w:suppressAutoHyphens/>
        <w:autoSpaceDE w:val="0"/>
        <w:ind w:left="360"/>
        <w:jc w:val="both"/>
        <w:rPr>
          <w:lang w:val="en-GB"/>
        </w:rPr>
      </w:pPr>
      <w:r w:rsidRPr="00627719">
        <w:rPr>
          <w:bCs/>
          <w:lang w:val="en-GB"/>
        </w:rPr>
        <w:t>The SRSG summari</w:t>
      </w:r>
      <w:r w:rsidR="000704D7" w:rsidRPr="00627719">
        <w:rPr>
          <w:bCs/>
          <w:lang w:val="en-GB"/>
        </w:rPr>
        <w:t>s</w:t>
      </w:r>
      <w:r w:rsidRPr="00627719">
        <w:rPr>
          <w:bCs/>
          <w:lang w:val="en-GB"/>
        </w:rPr>
        <w:t xml:space="preserve">es the general arguments by stating that the mentioned constraints inhibited the ability of UNMIK Police to conduct all investigations in a manner that may be demonstrated by, or at least expected from </w:t>
      </w:r>
      <w:r w:rsidR="000704D7" w:rsidRPr="00627719">
        <w:rPr>
          <w:bCs/>
          <w:lang w:val="en-GB"/>
        </w:rPr>
        <w:t>s</w:t>
      </w:r>
      <w:r w:rsidRPr="00627719">
        <w:rPr>
          <w:bCs/>
          <w:lang w:val="en-GB"/>
        </w:rPr>
        <w:t>tates with more established institutions and not dealing with</w:t>
      </w:r>
      <w:r w:rsidR="000704D7" w:rsidRPr="00627719">
        <w:rPr>
          <w:bCs/>
          <w:lang w:val="en-GB"/>
        </w:rPr>
        <w:t xml:space="preserve"> a</w:t>
      </w:r>
      <w:r w:rsidRPr="00627719">
        <w:rPr>
          <w:bCs/>
          <w:lang w:val="en-GB"/>
        </w:rPr>
        <w:t xml:space="preserve"> post-conflict context.</w:t>
      </w:r>
    </w:p>
    <w:p w:rsidR="00FA27C4" w:rsidRPr="00627719" w:rsidRDefault="00FA27C4" w:rsidP="005803CA">
      <w:pPr>
        <w:pStyle w:val="ListParagraph"/>
        <w:tabs>
          <w:tab w:val="left" w:pos="360"/>
        </w:tabs>
        <w:ind w:left="360" w:hanging="360"/>
        <w:rPr>
          <w:bCs/>
          <w:lang w:val="en-GB"/>
        </w:rPr>
      </w:pPr>
    </w:p>
    <w:p w:rsidR="00FA27C4" w:rsidRPr="00627719" w:rsidRDefault="00FA27C4" w:rsidP="00EC64DD">
      <w:pPr>
        <w:numPr>
          <w:ilvl w:val="0"/>
          <w:numId w:val="5"/>
        </w:numPr>
        <w:tabs>
          <w:tab w:val="left" w:pos="360"/>
        </w:tabs>
        <w:suppressAutoHyphens/>
        <w:autoSpaceDE w:val="0"/>
        <w:ind w:left="360"/>
        <w:jc w:val="both"/>
        <w:rPr>
          <w:b/>
          <w:bCs/>
          <w:color w:val="000000"/>
          <w:lang w:val="en-GB"/>
        </w:rPr>
      </w:pPr>
      <w:r w:rsidRPr="00627719">
        <w:rPr>
          <w:bCs/>
          <w:lang w:val="en-GB"/>
        </w:rPr>
        <w:t xml:space="preserve">With regard to this particular case, the SRSG </w:t>
      </w:r>
      <w:r w:rsidR="00D91F29" w:rsidRPr="00627719">
        <w:rPr>
          <w:bCs/>
          <w:lang w:val="en-GB"/>
        </w:rPr>
        <w:t>specifically argues that</w:t>
      </w:r>
      <w:r w:rsidRPr="00627719">
        <w:rPr>
          <w:bCs/>
          <w:lang w:val="en-GB"/>
        </w:rPr>
        <w:t xml:space="preserve"> the</w:t>
      </w:r>
      <w:r w:rsidR="00D50CF5" w:rsidRPr="00627719">
        <w:rPr>
          <w:bCs/>
          <w:lang w:val="en-GB"/>
        </w:rPr>
        <w:t xml:space="preserve"> police reports provided by the complainant indicate that UNMIK Police intervened promptly</w:t>
      </w:r>
      <w:r w:rsidR="0098491F" w:rsidRPr="00627719">
        <w:rPr>
          <w:bCs/>
          <w:lang w:val="en-GB"/>
        </w:rPr>
        <w:t>, professionally and efficiently</w:t>
      </w:r>
      <w:r w:rsidR="00D50CF5" w:rsidRPr="00627719">
        <w:rPr>
          <w:bCs/>
          <w:lang w:val="en-GB"/>
        </w:rPr>
        <w:t xml:space="preserve"> </w:t>
      </w:r>
      <w:r w:rsidR="005803CA" w:rsidRPr="00627719">
        <w:rPr>
          <w:bCs/>
          <w:lang w:val="en-GB"/>
        </w:rPr>
        <w:t xml:space="preserve">in the immediate aftermath of the armed attack, to secure as much evidence as possible in order to identify those responsible for the attack and </w:t>
      </w:r>
      <w:r w:rsidR="000C5E5F" w:rsidRPr="00627719">
        <w:rPr>
          <w:bCs/>
          <w:lang w:val="en-GB"/>
        </w:rPr>
        <w:t xml:space="preserve">especially </w:t>
      </w:r>
      <w:r w:rsidR="005803CA" w:rsidRPr="00627719">
        <w:rPr>
          <w:bCs/>
          <w:lang w:val="en-GB"/>
        </w:rPr>
        <w:t xml:space="preserve">for the death of Zoran </w:t>
      </w:r>
      <w:r w:rsidR="005803CA" w:rsidRPr="00627719">
        <w:t>Vukićević</w:t>
      </w:r>
      <w:r w:rsidR="0098491F" w:rsidRPr="00627719">
        <w:t>; evidence gathered at the scene w</w:t>
      </w:r>
      <w:r w:rsidR="000C5E5F" w:rsidRPr="00627719">
        <w:t>as</w:t>
      </w:r>
      <w:r w:rsidR="0098491F" w:rsidRPr="00627719">
        <w:t xml:space="preserve"> recorde</w:t>
      </w:r>
      <w:r w:rsidR="000C5E5F" w:rsidRPr="00627719">
        <w:t>d</w:t>
      </w:r>
      <w:r w:rsidR="0098491F" w:rsidRPr="00627719">
        <w:t xml:space="preserve">, efforts were made to locate and interview </w:t>
      </w:r>
      <w:r w:rsidR="005D0B5B" w:rsidRPr="00627719">
        <w:t>possible witnesses, and police</w:t>
      </w:r>
      <w:r w:rsidR="000704D7" w:rsidRPr="00627719">
        <w:t xml:space="preserve"> were deployed</w:t>
      </w:r>
      <w:r w:rsidR="005D0B5B" w:rsidRPr="00627719">
        <w:t xml:space="preserve"> </w:t>
      </w:r>
      <w:r w:rsidR="000704D7" w:rsidRPr="00627719">
        <w:t xml:space="preserve">on the same evening </w:t>
      </w:r>
      <w:r w:rsidR="005D0B5B" w:rsidRPr="00627719">
        <w:t xml:space="preserve">at the hospital where </w:t>
      </w:r>
      <w:r w:rsidR="005D0B5B" w:rsidRPr="00627719">
        <w:rPr>
          <w:bCs/>
          <w:lang w:val="en-GB"/>
        </w:rPr>
        <w:t>the complainant’s husband was given first-aid assistance</w:t>
      </w:r>
      <w:r w:rsidR="005D0B5B" w:rsidRPr="00627719">
        <w:rPr>
          <w:bCs/>
          <w:color w:val="000000"/>
          <w:lang w:val="en-GB"/>
        </w:rPr>
        <w:t>.</w:t>
      </w:r>
    </w:p>
    <w:p w:rsidR="00D50CF5" w:rsidRPr="00627719" w:rsidRDefault="00D50CF5" w:rsidP="00D50CF5">
      <w:pPr>
        <w:pStyle w:val="ListParagraph"/>
        <w:rPr>
          <w:bCs/>
          <w:lang w:val="en-GB"/>
        </w:rPr>
      </w:pPr>
    </w:p>
    <w:p w:rsidR="00D91F29" w:rsidRPr="00627719" w:rsidRDefault="009666AC" w:rsidP="00EC64DD">
      <w:pPr>
        <w:numPr>
          <w:ilvl w:val="0"/>
          <w:numId w:val="5"/>
        </w:numPr>
        <w:tabs>
          <w:tab w:val="left" w:pos="360"/>
        </w:tabs>
        <w:suppressAutoHyphens/>
        <w:autoSpaceDE w:val="0"/>
        <w:ind w:left="360"/>
        <w:jc w:val="both"/>
        <w:rPr>
          <w:bCs/>
          <w:lang w:val="en-GB"/>
        </w:rPr>
      </w:pPr>
      <w:bookmarkStart w:id="12" w:name="_Ref342314550"/>
      <w:r w:rsidRPr="00627719">
        <w:rPr>
          <w:bCs/>
          <w:lang w:val="en-GB"/>
        </w:rPr>
        <w:t>However, due to the fact that UNMIK was not able to locate any files related to the UNMIK Police investigation</w:t>
      </w:r>
      <w:r w:rsidR="000C5E5F" w:rsidRPr="00627719">
        <w:rPr>
          <w:bCs/>
          <w:lang w:val="en-GB"/>
        </w:rPr>
        <w:t>,</w:t>
      </w:r>
      <w:r w:rsidRPr="00627719">
        <w:rPr>
          <w:bCs/>
          <w:lang w:val="en-GB"/>
        </w:rPr>
        <w:t xml:space="preserve"> which probably took place after 17 December 1999, </w:t>
      </w:r>
      <w:bookmarkEnd w:id="12"/>
      <w:r w:rsidRPr="00627719">
        <w:rPr>
          <w:bCs/>
          <w:lang w:val="en-GB"/>
        </w:rPr>
        <w:t>the SRSG was not able to provide any f</w:t>
      </w:r>
      <w:r w:rsidR="000C5E5F" w:rsidRPr="00627719">
        <w:rPr>
          <w:bCs/>
          <w:lang w:val="en-GB"/>
        </w:rPr>
        <w:t>urther comments.</w:t>
      </w:r>
    </w:p>
    <w:p w:rsidR="00831AA2" w:rsidRPr="00627719" w:rsidRDefault="00831AA2" w:rsidP="00EC64DD">
      <w:pPr>
        <w:pStyle w:val="ListParagraph"/>
        <w:tabs>
          <w:tab w:val="left" w:pos="360"/>
        </w:tabs>
        <w:ind w:left="360" w:hanging="360"/>
        <w:rPr>
          <w:lang w:val="en-GB"/>
        </w:rPr>
      </w:pPr>
    </w:p>
    <w:p w:rsidR="00831AA2" w:rsidRPr="00627719" w:rsidRDefault="00B712F3" w:rsidP="00EC64DD">
      <w:pPr>
        <w:tabs>
          <w:tab w:val="left" w:pos="360"/>
        </w:tabs>
        <w:suppressAutoHyphens/>
        <w:autoSpaceDE w:val="0"/>
        <w:ind w:left="360" w:hanging="360"/>
        <w:jc w:val="both"/>
        <w:rPr>
          <w:b/>
          <w:bCs/>
          <w:lang w:val="en-GB"/>
        </w:rPr>
      </w:pPr>
      <w:r w:rsidRPr="00627719">
        <w:rPr>
          <w:b/>
          <w:bCs/>
          <w:lang w:val="en-GB"/>
        </w:rPr>
        <w:t>2.</w:t>
      </w:r>
      <w:r w:rsidRPr="00627719">
        <w:rPr>
          <w:b/>
          <w:bCs/>
          <w:lang w:val="en-GB"/>
        </w:rPr>
        <w:tab/>
      </w:r>
      <w:r w:rsidR="00831AA2" w:rsidRPr="00627719">
        <w:rPr>
          <w:b/>
          <w:bCs/>
          <w:lang w:val="en-GB"/>
        </w:rPr>
        <w:t>The Panel’s Assessment</w:t>
      </w:r>
    </w:p>
    <w:p w:rsidR="00407B13" w:rsidRPr="00627719" w:rsidRDefault="00407B13" w:rsidP="00EC64DD">
      <w:pPr>
        <w:tabs>
          <w:tab w:val="left" w:pos="360"/>
        </w:tabs>
        <w:suppressAutoHyphens/>
        <w:autoSpaceDE w:val="0"/>
        <w:ind w:left="360" w:hanging="360"/>
        <w:jc w:val="both"/>
        <w:rPr>
          <w:bCs/>
          <w:color w:val="000000"/>
          <w:lang w:val="en-GB"/>
        </w:rPr>
      </w:pPr>
    </w:p>
    <w:p w:rsidR="00503727" w:rsidRPr="00627719" w:rsidRDefault="00503727" w:rsidP="00503727">
      <w:pPr>
        <w:numPr>
          <w:ilvl w:val="0"/>
          <w:numId w:val="5"/>
        </w:numPr>
        <w:tabs>
          <w:tab w:val="left" w:pos="360"/>
        </w:tabs>
        <w:suppressAutoHyphens/>
        <w:autoSpaceDE w:val="0"/>
        <w:ind w:left="360"/>
        <w:jc w:val="both"/>
        <w:rPr>
          <w:bCs/>
          <w:lang w:val="en-GB"/>
        </w:rPr>
      </w:pPr>
      <w:r w:rsidRPr="00627719">
        <w:rPr>
          <w:bCs/>
          <w:lang w:val="en-GB"/>
        </w:rPr>
        <w:t>The Panel considers that the complainant invokes a violation of the procedural obligation stemming from the right to life, guaranteed by Article 2 of the European Convention on Human Rights (ECHR)</w:t>
      </w:r>
      <w:r w:rsidR="00D4251F" w:rsidRPr="00627719">
        <w:rPr>
          <w:bCs/>
          <w:lang w:val="en-GB"/>
        </w:rPr>
        <w:t>,</w:t>
      </w:r>
      <w:r w:rsidRPr="00627719">
        <w:rPr>
          <w:bCs/>
          <w:lang w:val="en-GB"/>
        </w:rPr>
        <w:t xml:space="preserve"> in that </w:t>
      </w:r>
      <w:r w:rsidRPr="00627719">
        <w:rPr>
          <w:bCs/>
        </w:rPr>
        <w:t xml:space="preserve">UNMIK Police did not conduct an effective investigation into </w:t>
      </w:r>
      <w:r w:rsidR="009A466C">
        <w:rPr>
          <w:bCs/>
        </w:rPr>
        <w:t>her husband’s killing</w:t>
      </w:r>
      <w:r w:rsidRPr="00627719">
        <w:rPr>
          <w:lang w:val="en-GB"/>
        </w:rPr>
        <w:t>.</w:t>
      </w:r>
    </w:p>
    <w:p w:rsidR="00503727" w:rsidRPr="00627719" w:rsidRDefault="00503727" w:rsidP="00EC64DD">
      <w:pPr>
        <w:tabs>
          <w:tab w:val="left" w:pos="360"/>
        </w:tabs>
        <w:suppressAutoHyphens/>
        <w:autoSpaceDE w:val="0"/>
        <w:ind w:left="360" w:hanging="360"/>
        <w:jc w:val="both"/>
        <w:rPr>
          <w:b/>
          <w:bCs/>
          <w:i/>
          <w:lang w:val="en-GB"/>
        </w:rPr>
      </w:pPr>
    </w:p>
    <w:p w:rsidR="002F65A0" w:rsidRPr="00627719" w:rsidRDefault="002F65A0" w:rsidP="00EC64DD">
      <w:pPr>
        <w:pStyle w:val="ListParagraph"/>
        <w:numPr>
          <w:ilvl w:val="0"/>
          <w:numId w:val="35"/>
        </w:numPr>
        <w:tabs>
          <w:tab w:val="left" w:pos="360"/>
        </w:tabs>
        <w:suppressAutoHyphens w:val="0"/>
        <w:ind w:left="360"/>
        <w:contextualSpacing/>
        <w:jc w:val="both"/>
        <w:rPr>
          <w:i/>
          <w:color w:val="000000"/>
          <w:lang w:eastAsia="en-US"/>
        </w:rPr>
      </w:pPr>
      <w:r w:rsidRPr="00627719">
        <w:rPr>
          <w:i/>
          <w:color w:val="000000"/>
          <w:lang w:eastAsia="en-US"/>
        </w:rPr>
        <w:t>Submission of relevant files</w:t>
      </w:r>
    </w:p>
    <w:p w:rsidR="00D759B4" w:rsidRPr="00627719" w:rsidRDefault="00D759B4" w:rsidP="00EC64DD">
      <w:pPr>
        <w:tabs>
          <w:tab w:val="left" w:pos="360"/>
        </w:tabs>
        <w:ind w:left="360" w:hanging="360"/>
        <w:rPr>
          <w:bCs/>
        </w:rPr>
      </w:pPr>
    </w:p>
    <w:p w:rsidR="003779E4" w:rsidRPr="00627719" w:rsidRDefault="0055213A" w:rsidP="003779E4">
      <w:pPr>
        <w:widowControl w:val="0"/>
        <w:numPr>
          <w:ilvl w:val="0"/>
          <w:numId w:val="5"/>
        </w:numPr>
        <w:tabs>
          <w:tab w:val="left" w:pos="360"/>
          <w:tab w:val="left" w:pos="1080"/>
        </w:tabs>
        <w:suppressAutoHyphens/>
        <w:ind w:left="360"/>
        <w:jc w:val="both"/>
        <w:rPr>
          <w:bCs/>
          <w:lang w:val="en-GB"/>
        </w:rPr>
      </w:pPr>
      <w:r w:rsidRPr="00627719">
        <w:t>As noted above</w:t>
      </w:r>
      <w:r w:rsidR="001A67D1" w:rsidRPr="00627719">
        <w:t xml:space="preserve"> (see § </w:t>
      </w:r>
      <w:fldSimple w:instr=" REF _Ref347322102 \r \h  \* MERGEFORMAT ">
        <w:r w:rsidR="0062115B">
          <w:t>26</w:t>
        </w:r>
      </w:fldSimple>
      <w:r w:rsidR="001A67D1" w:rsidRPr="00627719">
        <w:t>)</w:t>
      </w:r>
      <w:r w:rsidRPr="00627719">
        <w:t xml:space="preserve">, </w:t>
      </w:r>
      <w:r w:rsidRPr="00627719">
        <w:rPr>
          <w:color w:val="000000"/>
        </w:rPr>
        <w:t xml:space="preserve">UNMIK </w:t>
      </w:r>
      <w:r w:rsidR="0098491F" w:rsidRPr="00627719">
        <w:rPr>
          <w:color w:val="000000"/>
        </w:rPr>
        <w:t>did not</w:t>
      </w:r>
      <w:r w:rsidRPr="00627719">
        <w:rPr>
          <w:color w:val="000000"/>
        </w:rPr>
        <w:t xml:space="preserve"> provide</w:t>
      </w:r>
      <w:r w:rsidRPr="00627719">
        <w:t xml:space="preserve"> to the Panel any files related to the investigation into the </w:t>
      </w:r>
      <w:r w:rsidR="00D50CF5" w:rsidRPr="00627719">
        <w:t>killing of Zoran Vukićević.</w:t>
      </w:r>
      <w:r w:rsidR="003779E4" w:rsidRPr="00627719">
        <w:rPr>
          <w:bCs/>
          <w:lang w:val="en-GB"/>
        </w:rPr>
        <w:t xml:space="preserve"> </w:t>
      </w:r>
    </w:p>
    <w:p w:rsidR="00F92C88" w:rsidRPr="00627719" w:rsidRDefault="00F92C88" w:rsidP="00F92C88">
      <w:pPr>
        <w:tabs>
          <w:tab w:val="left" w:pos="360"/>
        </w:tabs>
        <w:suppressAutoHyphens/>
        <w:autoSpaceDE w:val="0"/>
        <w:ind w:left="360"/>
        <w:jc w:val="both"/>
      </w:pPr>
    </w:p>
    <w:p w:rsidR="00F92C88" w:rsidRPr="00627719" w:rsidRDefault="00CC21CD" w:rsidP="00EC64DD">
      <w:pPr>
        <w:numPr>
          <w:ilvl w:val="0"/>
          <w:numId w:val="5"/>
        </w:numPr>
        <w:tabs>
          <w:tab w:val="left" w:pos="360"/>
        </w:tabs>
        <w:suppressAutoHyphens/>
        <w:autoSpaceDE w:val="0"/>
        <w:ind w:left="360"/>
        <w:jc w:val="both"/>
        <w:rPr>
          <w:color w:val="000000"/>
        </w:rPr>
      </w:pPr>
      <w:bookmarkStart w:id="13" w:name="_Ref349811544"/>
      <w:r w:rsidRPr="00627719">
        <w:t>The Panel</w:t>
      </w:r>
      <w:r w:rsidR="00F92C88" w:rsidRPr="00627719">
        <w:t xml:space="preserve"> </w:t>
      </w:r>
      <w:r w:rsidRPr="00627719">
        <w:t xml:space="preserve">notes that two of </w:t>
      </w:r>
      <w:r w:rsidR="00F92C88" w:rsidRPr="00627719">
        <w:t xml:space="preserve">the </w:t>
      </w:r>
      <w:r w:rsidRPr="00627719">
        <w:t xml:space="preserve">UNMIK Police reports </w:t>
      </w:r>
      <w:r w:rsidR="00F92C88" w:rsidRPr="00627719">
        <w:t xml:space="preserve">presented by the complainant </w:t>
      </w:r>
      <w:r w:rsidRPr="00627719">
        <w:t xml:space="preserve">(see § </w:t>
      </w:r>
      <w:fldSimple w:instr=" REF _Ref349811235 \r \h  \* MERGEFORMAT ">
        <w:r w:rsidR="0062115B">
          <w:t>24</w:t>
        </w:r>
      </w:fldSimple>
      <w:r w:rsidRPr="00627719">
        <w:t xml:space="preserve"> above) </w:t>
      </w:r>
      <w:r w:rsidR="00555EEB" w:rsidRPr="00627719">
        <w:t>mention</w:t>
      </w:r>
      <w:r w:rsidR="000C5E5F" w:rsidRPr="00627719">
        <w:t xml:space="preserve"> the</w:t>
      </w:r>
      <w:r w:rsidR="00555EEB" w:rsidRPr="00627719">
        <w:t xml:space="preserve"> involvement of the RIU </w:t>
      </w:r>
      <w:r w:rsidRPr="00627719">
        <w:t xml:space="preserve">of the </w:t>
      </w:r>
      <w:r w:rsidRPr="00627719">
        <w:rPr>
          <w:bCs/>
          <w:lang w:val="en-GB"/>
        </w:rPr>
        <w:t>Prizren Regional UNMIK Police Headquarters</w:t>
      </w:r>
      <w:r w:rsidRPr="00627719">
        <w:t xml:space="preserve"> </w:t>
      </w:r>
      <w:r w:rsidR="00555EEB" w:rsidRPr="00627719">
        <w:t xml:space="preserve">in the immediate aftermath of the </w:t>
      </w:r>
      <w:r w:rsidRPr="00627719">
        <w:t xml:space="preserve">attack. However, the Panel was not presented with any investigative files </w:t>
      </w:r>
      <w:r w:rsidR="000C5E5F" w:rsidRPr="00627719">
        <w:rPr>
          <w:color w:val="000000"/>
        </w:rPr>
        <w:t>from</w:t>
      </w:r>
      <w:r w:rsidRPr="00627719">
        <w:rPr>
          <w:color w:val="000000"/>
        </w:rPr>
        <w:t xml:space="preserve"> that, or </w:t>
      </w:r>
      <w:r w:rsidR="00627719" w:rsidRPr="00627719">
        <w:rPr>
          <w:color w:val="000000"/>
        </w:rPr>
        <w:t>from</w:t>
      </w:r>
      <w:r w:rsidR="00A37EF7" w:rsidRPr="00627719">
        <w:rPr>
          <w:color w:val="000000"/>
        </w:rPr>
        <w:t xml:space="preserve"> </w:t>
      </w:r>
      <w:r w:rsidRPr="00627719">
        <w:rPr>
          <w:color w:val="000000"/>
        </w:rPr>
        <w:t>an</w:t>
      </w:r>
      <w:r w:rsidR="00A37EF7" w:rsidRPr="00627719">
        <w:rPr>
          <w:color w:val="000000"/>
        </w:rPr>
        <w:t xml:space="preserve">y other </w:t>
      </w:r>
      <w:r w:rsidRPr="00627719">
        <w:rPr>
          <w:color w:val="000000"/>
        </w:rPr>
        <w:t>UNMIK Police unit.</w:t>
      </w:r>
      <w:bookmarkEnd w:id="13"/>
    </w:p>
    <w:p w:rsidR="003779E4" w:rsidRPr="00627719" w:rsidRDefault="003779E4" w:rsidP="00D50CF5">
      <w:pPr>
        <w:tabs>
          <w:tab w:val="left" w:pos="360"/>
        </w:tabs>
        <w:suppressAutoHyphens/>
        <w:autoSpaceDE w:val="0"/>
        <w:ind w:left="360"/>
        <w:jc w:val="both"/>
        <w:rPr>
          <w:color w:val="000000"/>
        </w:rPr>
      </w:pPr>
    </w:p>
    <w:p w:rsidR="00D50CF5" w:rsidRPr="00627719" w:rsidRDefault="002F65A0" w:rsidP="00D50CF5">
      <w:pPr>
        <w:numPr>
          <w:ilvl w:val="0"/>
          <w:numId w:val="5"/>
        </w:numPr>
        <w:tabs>
          <w:tab w:val="left" w:pos="360"/>
        </w:tabs>
        <w:suppressAutoHyphens/>
        <w:autoSpaceDE w:val="0"/>
        <w:ind w:left="360"/>
        <w:jc w:val="both"/>
      </w:pPr>
      <w:bookmarkStart w:id="14" w:name="_Ref350160673"/>
      <w:r w:rsidRPr="00627719">
        <w:rPr>
          <w:color w:val="000000"/>
        </w:rPr>
        <w:t>The Panel notes that Section 15 of UNMIK Regulation</w:t>
      </w:r>
      <w:r w:rsidRPr="00627719">
        <w:t xml:space="preserve"> No. 2006/12 states that the Panel may request the submission from UNMIK of any documents and that the SRSG shall cooperate with the Panel and provide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627719">
        <w:rPr>
          <w:rStyle w:val="s7d2086b4"/>
          <w:i/>
        </w:rPr>
        <w:t xml:space="preserve">Çelikbilek </w:t>
      </w:r>
      <w:r w:rsidRPr="00627719">
        <w:rPr>
          <w:i/>
        </w:rPr>
        <w:t>v. Turkey</w:t>
      </w:r>
      <w:r w:rsidRPr="00627719">
        <w:t xml:space="preserve">, </w:t>
      </w:r>
      <w:r w:rsidRPr="00627719">
        <w:rPr>
          <w:color w:val="000000"/>
          <w:lang w:eastAsia="nl-BE"/>
        </w:rPr>
        <w:t>no. 27693/95, judgment of 31 May 2005</w:t>
      </w:r>
      <w:r w:rsidRPr="00627719">
        <w:rPr>
          <w:i/>
          <w:iCs/>
          <w:color w:val="000000"/>
          <w:lang w:eastAsia="nl-BE"/>
        </w:rPr>
        <w:t>,</w:t>
      </w:r>
      <w:r w:rsidRPr="00627719">
        <w:rPr>
          <w:iCs/>
          <w:color w:val="000000"/>
          <w:lang w:eastAsia="nl-BE"/>
        </w:rPr>
        <w:t xml:space="preserve"> § 56). However, </w:t>
      </w:r>
      <w:r w:rsidRPr="00627719">
        <w:t>despite a number of requests</w:t>
      </w:r>
      <w:r w:rsidR="00E50312" w:rsidRPr="00627719">
        <w:t xml:space="preserve"> from the Panel</w:t>
      </w:r>
      <w:r w:rsidRPr="00627719">
        <w:t xml:space="preserve">, </w:t>
      </w:r>
      <w:r w:rsidR="00D759B4" w:rsidRPr="00627719">
        <w:t xml:space="preserve">UNMIK </w:t>
      </w:r>
      <w:r w:rsidR="00DD3E1C" w:rsidRPr="00627719">
        <w:t xml:space="preserve">did not </w:t>
      </w:r>
      <w:r w:rsidR="00D759B4" w:rsidRPr="00627719">
        <w:t xml:space="preserve">provide to the Panel any investigation documents appertaining to </w:t>
      </w:r>
      <w:r w:rsidRPr="00627719">
        <w:t>an</w:t>
      </w:r>
      <w:r w:rsidR="00D759B4" w:rsidRPr="00627719">
        <w:t xml:space="preserve"> investigation</w:t>
      </w:r>
      <w:r w:rsidRPr="00627719">
        <w:t xml:space="preserve"> into th</w:t>
      </w:r>
      <w:r w:rsidR="00A16C77" w:rsidRPr="00627719">
        <w:t xml:space="preserve">e </w:t>
      </w:r>
      <w:r w:rsidR="00D50CF5" w:rsidRPr="00627719">
        <w:t>killing of Zoran Vukićević.</w:t>
      </w:r>
      <w:bookmarkEnd w:id="14"/>
    </w:p>
    <w:p w:rsidR="00D50CF5" w:rsidRPr="00627719" w:rsidRDefault="00D50CF5" w:rsidP="00D50CF5">
      <w:pPr>
        <w:tabs>
          <w:tab w:val="left" w:pos="360"/>
        </w:tabs>
        <w:suppressAutoHyphens/>
        <w:autoSpaceDE w:val="0"/>
        <w:ind w:left="360"/>
        <w:jc w:val="both"/>
      </w:pPr>
    </w:p>
    <w:p w:rsidR="00D759B4" w:rsidRPr="00627719" w:rsidRDefault="00D759B4" w:rsidP="00EC64DD">
      <w:pPr>
        <w:numPr>
          <w:ilvl w:val="0"/>
          <w:numId w:val="5"/>
        </w:numPr>
        <w:tabs>
          <w:tab w:val="left" w:pos="360"/>
        </w:tabs>
        <w:suppressAutoHyphens/>
        <w:ind w:left="360"/>
        <w:jc w:val="both"/>
      </w:pPr>
      <w:r w:rsidRPr="00627719">
        <w:t xml:space="preserve">The Panel </w:t>
      </w:r>
      <w:r w:rsidR="002F65A0" w:rsidRPr="00627719">
        <w:t xml:space="preserve">also </w:t>
      </w:r>
      <w:r w:rsidRPr="00627719">
        <w:t xml:space="preserve">notes that the proper maintenance of investigative files concerning crimes such as killings and disappearances, from the opening of investigations to their handing over, is crucial to the continuation of such investigations and failure to do so could thus raise </w:t>
      </w:r>
      <w:r w:rsidRPr="00627719">
        <w:rPr>
          <w:i/>
        </w:rPr>
        <w:t>per se</w:t>
      </w:r>
      <w:r w:rsidRPr="00627719">
        <w:t xml:space="preserve"> issues under Article 2. The Panel </w:t>
      </w:r>
      <w:r w:rsidR="006C6D94" w:rsidRPr="00627719">
        <w:t>likewise</w:t>
      </w:r>
      <w:r w:rsidRPr="00627719">
        <w:t xml:space="preserve"> notes that UNMIK has not provided any explanation for the lack of </w:t>
      </w:r>
      <w:r w:rsidR="00E50312" w:rsidRPr="00627719">
        <w:t xml:space="preserve">any </w:t>
      </w:r>
      <w:r w:rsidRPr="00627719">
        <w:t xml:space="preserve">documentation. </w:t>
      </w:r>
    </w:p>
    <w:p w:rsidR="00D759B4" w:rsidRPr="00627719" w:rsidRDefault="00D759B4" w:rsidP="00EC64DD">
      <w:pPr>
        <w:tabs>
          <w:tab w:val="left" w:pos="360"/>
        </w:tabs>
        <w:ind w:left="360" w:hanging="360"/>
        <w:jc w:val="both"/>
      </w:pPr>
    </w:p>
    <w:p w:rsidR="00D759B4" w:rsidRPr="00627719" w:rsidRDefault="00D759B4" w:rsidP="00EC64DD">
      <w:pPr>
        <w:numPr>
          <w:ilvl w:val="0"/>
          <w:numId w:val="5"/>
        </w:numPr>
        <w:tabs>
          <w:tab w:val="left" w:pos="360"/>
        </w:tabs>
        <w:ind w:left="360"/>
        <w:jc w:val="both"/>
      </w:pPr>
      <w:r w:rsidRPr="00627719">
        <w:t xml:space="preserve">The Panel has no reason to doubt that UNMIK undertook all efforts in order to obtain the relevant investigation files. However, despite ample time given to UNMIK for that purpose (more than two years), neither files, nor a plausible explanation of the reasons for their complete absence, were presented to the Panel. Therefore, the Panel has no other course of action but to proceed with an examination of the merits of this complaint only on the basis of documents made available by the complainant and the scarce information provided UNMIK, and to draw inferences from this situation (in this sense, see ECtHR, </w:t>
      </w:r>
      <w:r w:rsidRPr="00627719">
        <w:rPr>
          <w:i/>
        </w:rPr>
        <w:t>Tsechoyev v. Russia</w:t>
      </w:r>
      <w:r w:rsidRPr="00627719">
        <w:t xml:space="preserve">, </w:t>
      </w:r>
      <w:r w:rsidR="00FB157F" w:rsidRPr="00627719">
        <w:t xml:space="preserve">no. 39358/05, </w:t>
      </w:r>
      <w:r w:rsidRPr="00627719">
        <w:t>judgment of</w:t>
      </w:r>
      <w:r w:rsidRPr="00627719">
        <w:rPr>
          <w:i/>
        </w:rPr>
        <w:t xml:space="preserve"> </w:t>
      </w:r>
      <w:r w:rsidRPr="00627719">
        <w:t xml:space="preserve">15 March 2011, § 146). </w:t>
      </w:r>
    </w:p>
    <w:p w:rsidR="00407B13" w:rsidRPr="00627719" w:rsidRDefault="00407B13" w:rsidP="00EC64DD">
      <w:pPr>
        <w:tabs>
          <w:tab w:val="left" w:pos="360"/>
        </w:tabs>
        <w:suppressAutoHyphens/>
        <w:autoSpaceDE w:val="0"/>
        <w:ind w:left="360" w:hanging="360"/>
        <w:jc w:val="both"/>
        <w:rPr>
          <w:b/>
          <w:bCs/>
          <w:i/>
          <w:lang w:val="en-GB"/>
        </w:rPr>
      </w:pPr>
    </w:p>
    <w:p w:rsidR="00831AA2" w:rsidRPr="00627719" w:rsidRDefault="00831AA2" w:rsidP="00EC64DD">
      <w:pPr>
        <w:pStyle w:val="ListParagraph"/>
        <w:numPr>
          <w:ilvl w:val="0"/>
          <w:numId w:val="35"/>
        </w:numPr>
        <w:tabs>
          <w:tab w:val="left" w:pos="360"/>
        </w:tabs>
        <w:suppressAutoHyphens w:val="0"/>
        <w:ind w:left="360"/>
        <w:contextualSpacing/>
        <w:jc w:val="both"/>
        <w:rPr>
          <w:i/>
          <w:color w:val="000000"/>
          <w:lang w:eastAsia="en-US"/>
        </w:rPr>
      </w:pPr>
      <w:r w:rsidRPr="00627719">
        <w:rPr>
          <w:i/>
          <w:color w:val="000000"/>
          <w:lang w:eastAsia="en-US"/>
        </w:rPr>
        <w:t>General principles concerning the obligation to conduct an effective investigation under Article 2</w:t>
      </w:r>
    </w:p>
    <w:p w:rsidR="00FE4F38" w:rsidRPr="00627719" w:rsidRDefault="00FE4F38" w:rsidP="00EC64DD">
      <w:pPr>
        <w:tabs>
          <w:tab w:val="left" w:pos="360"/>
        </w:tabs>
        <w:ind w:left="360" w:hanging="360"/>
        <w:rPr>
          <w:lang w:val="en-GB"/>
        </w:rPr>
      </w:pPr>
      <w:bookmarkStart w:id="15" w:name="_Ref342296803"/>
    </w:p>
    <w:p w:rsidR="00BE2B89" w:rsidRPr="00627719" w:rsidRDefault="005200EF" w:rsidP="00EC64DD">
      <w:pPr>
        <w:numPr>
          <w:ilvl w:val="0"/>
          <w:numId w:val="5"/>
        </w:numPr>
        <w:tabs>
          <w:tab w:val="left" w:pos="360"/>
        </w:tabs>
        <w:suppressAutoHyphens/>
        <w:autoSpaceDE w:val="0"/>
        <w:ind w:left="360"/>
        <w:jc w:val="both"/>
        <w:rPr>
          <w:lang w:val="en-GB"/>
        </w:rPr>
      </w:pPr>
      <w:bookmarkStart w:id="16" w:name="_Ref347993393"/>
      <w:r w:rsidRPr="00627719">
        <w:rPr>
          <w:lang w:val="en-GB"/>
        </w:rPr>
        <w:t>First, t</w:t>
      </w:r>
      <w:r w:rsidR="000A6899" w:rsidRPr="00627719">
        <w:rPr>
          <w:lang w:val="en-GB"/>
        </w:rPr>
        <w:t>he Panel considers</w:t>
      </w:r>
      <w:r w:rsidRPr="00627719">
        <w:rPr>
          <w:lang w:val="en-GB"/>
        </w:rPr>
        <w:t xml:space="preserve"> </w:t>
      </w:r>
      <w:r w:rsidR="000A6899" w:rsidRPr="00627719">
        <w:rPr>
          <w:lang w:val="en-GB"/>
        </w:rPr>
        <w:t xml:space="preserve">that the lack of any investigative files raises issues of the burden of proof. </w:t>
      </w:r>
      <w:r w:rsidR="00C074FA" w:rsidRPr="00627719">
        <w:rPr>
          <w:lang w:val="en-GB"/>
        </w:rPr>
        <w:t>In this regard, t</w:t>
      </w:r>
      <w:r w:rsidR="004F19FC" w:rsidRPr="00627719">
        <w:rPr>
          <w:lang w:val="en-GB"/>
        </w:rPr>
        <w:t>he Panel</w:t>
      </w:r>
      <w:r w:rsidR="00E63DF9" w:rsidRPr="00627719">
        <w:rPr>
          <w:lang w:val="en-GB"/>
        </w:rPr>
        <w:t xml:space="preserve"> </w:t>
      </w:r>
      <w:r w:rsidR="0022343B" w:rsidRPr="00627719">
        <w:rPr>
          <w:lang w:val="en-GB"/>
        </w:rPr>
        <w:t>refer</w:t>
      </w:r>
      <w:r w:rsidR="004F19FC" w:rsidRPr="00627719">
        <w:rPr>
          <w:lang w:val="en-GB"/>
        </w:rPr>
        <w:t>s</w:t>
      </w:r>
      <w:r w:rsidR="0022343B" w:rsidRPr="00627719">
        <w:rPr>
          <w:lang w:val="en-GB"/>
        </w:rPr>
        <w:t xml:space="preserve"> to the approach of the </w:t>
      </w:r>
      <w:r w:rsidR="0022343B" w:rsidRPr="00627719">
        <w:rPr>
          <w:color w:val="000000"/>
        </w:rPr>
        <w:t>European Court on Human Rights</w:t>
      </w:r>
      <w:r w:rsidR="00B96406" w:rsidRPr="00627719">
        <w:rPr>
          <w:color w:val="000000"/>
        </w:rPr>
        <w:t xml:space="preserve"> as well as of the </w:t>
      </w:r>
      <w:r w:rsidR="00DB2E6D" w:rsidRPr="00627719">
        <w:rPr>
          <w:color w:val="000000"/>
        </w:rPr>
        <w:t xml:space="preserve">United Nations </w:t>
      </w:r>
      <w:r w:rsidR="00B96406" w:rsidRPr="00627719">
        <w:rPr>
          <w:color w:val="000000"/>
        </w:rPr>
        <w:t>Human Rights Committee</w:t>
      </w:r>
      <w:r w:rsidR="00C074FA" w:rsidRPr="00627719">
        <w:rPr>
          <w:color w:val="000000"/>
        </w:rPr>
        <w:t xml:space="preserve"> </w:t>
      </w:r>
      <w:r w:rsidR="009031E4" w:rsidRPr="00627719">
        <w:rPr>
          <w:color w:val="000000"/>
        </w:rPr>
        <w:t xml:space="preserve">(HRC) </w:t>
      </w:r>
      <w:r w:rsidR="00C074FA" w:rsidRPr="00627719">
        <w:rPr>
          <w:color w:val="000000"/>
        </w:rPr>
        <w:t>on the matter</w:t>
      </w:r>
      <w:r w:rsidR="0022343B" w:rsidRPr="00627719">
        <w:rPr>
          <w:lang w:val="en-GB"/>
        </w:rPr>
        <w:t>.</w:t>
      </w:r>
      <w:r w:rsidR="00BE2B89" w:rsidRPr="00627719">
        <w:rPr>
          <w:lang w:val="en-GB"/>
        </w:rPr>
        <w:t xml:space="preserve"> The general rule is that it is for the party who asserts a </w:t>
      </w:r>
      <w:r w:rsidR="000A6899" w:rsidRPr="00627719">
        <w:rPr>
          <w:lang w:val="en-GB"/>
        </w:rPr>
        <w:t>proposition of fact to prove it</w:t>
      </w:r>
      <w:r w:rsidR="00715413" w:rsidRPr="00627719">
        <w:rPr>
          <w:lang w:val="en-GB"/>
        </w:rPr>
        <w:t>,</w:t>
      </w:r>
      <w:r w:rsidR="000A6899" w:rsidRPr="00627719">
        <w:rPr>
          <w:lang w:val="en-GB"/>
        </w:rPr>
        <w:t xml:space="preserve"> but </w:t>
      </w:r>
      <w:r w:rsidR="00715413" w:rsidRPr="00627719">
        <w:rPr>
          <w:lang w:val="en-GB"/>
        </w:rPr>
        <w:t xml:space="preserve">that </w:t>
      </w:r>
      <w:r w:rsidR="000A6899" w:rsidRPr="00627719">
        <w:rPr>
          <w:lang w:val="en-GB"/>
        </w:rPr>
        <w:t>this is not a rigid rule.</w:t>
      </w:r>
      <w:bookmarkEnd w:id="15"/>
      <w:bookmarkEnd w:id="16"/>
    </w:p>
    <w:p w:rsidR="000A6899" w:rsidRPr="00627719" w:rsidRDefault="000A6899" w:rsidP="00EC64DD">
      <w:pPr>
        <w:tabs>
          <w:tab w:val="left" w:pos="360"/>
        </w:tabs>
        <w:suppressAutoHyphens/>
        <w:autoSpaceDE w:val="0"/>
        <w:ind w:left="360" w:hanging="360"/>
        <w:jc w:val="both"/>
        <w:rPr>
          <w:lang w:val="en-GB"/>
        </w:rPr>
      </w:pPr>
    </w:p>
    <w:p w:rsidR="00696442" w:rsidRPr="00627719" w:rsidRDefault="006D6DDA" w:rsidP="00EC64DD">
      <w:pPr>
        <w:numPr>
          <w:ilvl w:val="0"/>
          <w:numId w:val="5"/>
        </w:numPr>
        <w:tabs>
          <w:tab w:val="left" w:pos="360"/>
        </w:tabs>
        <w:suppressAutoHyphens/>
        <w:autoSpaceDE w:val="0"/>
        <w:ind w:left="360"/>
        <w:jc w:val="both"/>
        <w:rPr>
          <w:b/>
          <w:lang w:val="en-GB"/>
        </w:rPr>
      </w:pPr>
      <w:bookmarkStart w:id="17" w:name="_Ref342296805"/>
      <w:r w:rsidRPr="00627719">
        <w:rPr>
          <w:lang w:val="en-GB"/>
        </w:rPr>
        <w:t>F</w:t>
      </w:r>
      <w:r w:rsidR="00BE2B89" w:rsidRPr="00627719">
        <w:rPr>
          <w:lang w:val="en-GB"/>
        </w:rPr>
        <w:t>ollowing this</w:t>
      </w:r>
      <w:r w:rsidR="0022343B" w:rsidRPr="00627719">
        <w:rPr>
          <w:lang w:val="en-GB"/>
        </w:rPr>
        <w:t xml:space="preserve"> general </w:t>
      </w:r>
      <w:r w:rsidR="00BE2B89" w:rsidRPr="00627719">
        <w:rPr>
          <w:lang w:val="en-GB"/>
        </w:rPr>
        <w:t>r</w:t>
      </w:r>
      <w:r w:rsidR="0022343B" w:rsidRPr="00627719">
        <w:rPr>
          <w:lang w:val="en-GB"/>
        </w:rPr>
        <w:t xml:space="preserve">ule, at the admissibility stage </w:t>
      </w:r>
      <w:r w:rsidR="00696442" w:rsidRPr="00627719">
        <w:rPr>
          <w:lang w:val="en-GB"/>
        </w:rPr>
        <w:t>an</w:t>
      </w:r>
      <w:r w:rsidR="0022343B" w:rsidRPr="00627719">
        <w:rPr>
          <w:lang w:val="en-GB"/>
        </w:rPr>
        <w:t xml:space="preserve"> applicant must present</w:t>
      </w:r>
      <w:r w:rsidR="004F19FC" w:rsidRPr="00627719">
        <w:rPr>
          <w:lang w:val="en-GB"/>
        </w:rPr>
        <w:t xml:space="preserve"> </w:t>
      </w:r>
      <w:r w:rsidR="0022343B" w:rsidRPr="00627719">
        <w:rPr>
          <w:lang w:val="en-GB"/>
        </w:rPr>
        <w:t>facts, which are supportive of the allegations</w:t>
      </w:r>
      <w:r w:rsidR="00696442" w:rsidRPr="00627719">
        <w:rPr>
          <w:lang w:val="en-GB"/>
        </w:rPr>
        <w:t xml:space="preserve"> of </w:t>
      </w:r>
      <w:r w:rsidR="00E50312" w:rsidRPr="00627719">
        <w:rPr>
          <w:lang w:val="en-GB"/>
        </w:rPr>
        <w:t xml:space="preserve">the </w:t>
      </w:r>
      <w:r w:rsidR="00696442" w:rsidRPr="00627719">
        <w:rPr>
          <w:lang w:val="en-GB"/>
        </w:rPr>
        <w:t>State’s responsibility</w:t>
      </w:r>
      <w:r w:rsidR="005200EF" w:rsidRPr="00627719">
        <w:rPr>
          <w:lang w:val="en-GB"/>
        </w:rPr>
        <w:t>, that is,</w:t>
      </w:r>
      <w:r w:rsidR="00DF051A" w:rsidRPr="00627719">
        <w:rPr>
          <w:lang w:val="en-GB"/>
        </w:rPr>
        <w:t xml:space="preserve"> to establish a </w:t>
      </w:r>
      <w:r w:rsidR="00DF051A" w:rsidRPr="00627719">
        <w:rPr>
          <w:i/>
          <w:lang w:val="en-GB"/>
        </w:rPr>
        <w:t>prima facie</w:t>
      </w:r>
      <w:r w:rsidR="00DF051A" w:rsidRPr="00627719">
        <w:rPr>
          <w:lang w:val="en-GB"/>
        </w:rPr>
        <w:t xml:space="preserve"> case</w:t>
      </w:r>
      <w:r w:rsidR="0022343B" w:rsidRPr="00627719">
        <w:rPr>
          <w:lang w:val="en-GB"/>
        </w:rPr>
        <w:t xml:space="preserve"> </w:t>
      </w:r>
      <w:r w:rsidR="00696442" w:rsidRPr="00627719">
        <w:rPr>
          <w:lang w:val="en-GB"/>
        </w:rPr>
        <w:t xml:space="preserve">against the authorities </w:t>
      </w:r>
      <w:r w:rsidR="00DF051A" w:rsidRPr="00627719">
        <w:rPr>
          <w:lang w:val="en-GB"/>
        </w:rPr>
        <w:t>(see</w:t>
      </w:r>
      <w:r w:rsidR="00B96406" w:rsidRPr="00627719">
        <w:rPr>
          <w:lang w:val="en-GB"/>
        </w:rPr>
        <w:t xml:space="preserve">, </w:t>
      </w:r>
      <w:r w:rsidR="00B96406" w:rsidRPr="00627719">
        <w:rPr>
          <w:i/>
          <w:lang w:val="en-GB"/>
        </w:rPr>
        <w:t>mutatis mutandis</w:t>
      </w:r>
      <w:r w:rsidR="00B96406" w:rsidRPr="00627719">
        <w:rPr>
          <w:lang w:val="en-GB"/>
        </w:rPr>
        <w:t>,</w:t>
      </w:r>
      <w:r w:rsidR="00DF051A" w:rsidRPr="00627719">
        <w:rPr>
          <w:lang w:val="en-GB"/>
        </w:rPr>
        <w:t xml:space="preserve"> ECtHR, </w:t>
      </w:r>
      <w:r w:rsidR="00DF051A" w:rsidRPr="00627719">
        <w:rPr>
          <w:i/>
          <w:iCs/>
        </w:rPr>
        <w:t xml:space="preserve">Artico </w:t>
      </w:r>
      <w:r w:rsidR="00A40976" w:rsidRPr="00627719">
        <w:rPr>
          <w:i/>
          <w:iCs/>
        </w:rPr>
        <w:t>v</w:t>
      </w:r>
      <w:r w:rsidR="00544F56" w:rsidRPr="00627719">
        <w:rPr>
          <w:i/>
          <w:iCs/>
        </w:rPr>
        <w:t>.</w:t>
      </w:r>
      <w:r w:rsidR="00DF051A" w:rsidRPr="00627719">
        <w:rPr>
          <w:i/>
          <w:iCs/>
        </w:rPr>
        <w:t xml:space="preserve"> Italy</w:t>
      </w:r>
      <w:r w:rsidR="00DF051A" w:rsidRPr="00627719">
        <w:t xml:space="preserve">, no. 6694/74, </w:t>
      </w:r>
      <w:r w:rsidR="00B0095F" w:rsidRPr="00627719">
        <w:t xml:space="preserve">judgment </w:t>
      </w:r>
      <w:r w:rsidR="00DF051A" w:rsidRPr="00627719">
        <w:t>of 13</w:t>
      </w:r>
      <w:r w:rsidR="00B0095F" w:rsidRPr="00627719">
        <w:t xml:space="preserve"> May </w:t>
      </w:r>
      <w:r w:rsidR="00DF051A" w:rsidRPr="00627719">
        <w:t xml:space="preserve">1980, </w:t>
      </w:r>
      <w:r w:rsidR="00B0095F" w:rsidRPr="00627719">
        <w:t xml:space="preserve">§§ 29-30, </w:t>
      </w:r>
      <w:r w:rsidR="00DF051A" w:rsidRPr="00627719">
        <w:t>Series A no. 37</w:t>
      </w:r>
      <w:r w:rsidR="00696442" w:rsidRPr="00627719">
        <w:t xml:space="preserve">; </w:t>
      </w:r>
      <w:r w:rsidR="00012218" w:rsidRPr="00627719">
        <w:t xml:space="preserve">ECtHR, </w:t>
      </w:r>
      <w:r w:rsidR="00696442" w:rsidRPr="00627719">
        <w:rPr>
          <w:i/>
        </w:rPr>
        <w:t>To</w:t>
      </w:r>
      <w:r w:rsidR="004F231E" w:rsidRPr="00627719">
        <w:rPr>
          <w:i/>
        </w:rPr>
        <w:t>ğ</w:t>
      </w:r>
      <w:r w:rsidR="00696442" w:rsidRPr="00627719">
        <w:rPr>
          <w:i/>
        </w:rPr>
        <w:t>cu v</w:t>
      </w:r>
      <w:r w:rsidR="00544F56" w:rsidRPr="00627719">
        <w:rPr>
          <w:i/>
        </w:rPr>
        <w:t>.</w:t>
      </w:r>
      <w:r w:rsidR="00696442" w:rsidRPr="00627719">
        <w:rPr>
          <w:i/>
        </w:rPr>
        <w:t xml:space="preserve"> Turkey</w:t>
      </w:r>
      <w:r w:rsidR="00696442" w:rsidRPr="00627719">
        <w:t>, no. 27601/95, judgment of 31 May 2005, § 95</w:t>
      </w:r>
      <w:r w:rsidR="007F7B95" w:rsidRPr="00627719">
        <w:t xml:space="preserve">). </w:t>
      </w:r>
      <w:r w:rsidR="000A6899" w:rsidRPr="00627719">
        <w:t>However</w:t>
      </w:r>
      <w:r w:rsidR="00E63DF9" w:rsidRPr="00627719">
        <w:t xml:space="preserve">, </w:t>
      </w:r>
      <w:r w:rsidR="00C074FA" w:rsidRPr="00627719">
        <w:t>the</w:t>
      </w:r>
      <w:r w:rsidR="007F7B95" w:rsidRPr="00627719">
        <w:t xml:space="preserve"> European</w:t>
      </w:r>
      <w:r w:rsidR="00C074FA" w:rsidRPr="00627719">
        <w:t xml:space="preserve"> Court further holds that </w:t>
      </w:r>
      <w:r w:rsidR="00263801" w:rsidRPr="00627719">
        <w:rPr>
          <w:lang w:val="en-GB"/>
        </w:rPr>
        <w:t xml:space="preserve">“... </w:t>
      </w:r>
      <w:r w:rsidR="00263801" w:rsidRPr="00627719">
        <w:t>where the events in issue lie wholly, or in large part, within the exclusive knowledge of the authorities … The burden of proof may then be regarded as resting on the authorities to provide a satisfactory and convincing explanation</w:t>
      </w:r>
      <w:r w:rsidR="00454AA4" w:rsidRPr="00627719">
        <w:t>”</w:t>
      </w:r>
      <w:r w:rsidR="00263801" w:rsidRPr="00627719">
        <w:t xml:space="preserve"> (</w:t>
      </w:r>
      <w:r w:rsidR="00263801" w:rsidRPr="00627719">
        <w:rPr>
          <w:lang w:val="en-GB"/>
        </w:rPr>
        <w:t>see ECtHR</w:t>
      </w:r>
      <w:r w:rsidR="00C81172" w:rsidRPr="00627719">
        <w:rPr>
          <w:lang w:val="en-GB"/>
        </w:rPr>
        <w:t xml:space="preserve"> [GC]</w:t>
      </w:r>
      <w:r w:rsidR="00263801" w:rsidRPr="00627719">
        <w:rPr>
          <w:lang w:val="en-GB"/>
        </w:rPr>
        <w:t xml:space="preserve">, </w:t>
      </w:r>
      <w:r w:rsidR="00263801" w:rsidRPr="00627719">
        <w:rPr>
          <w:i/>
          <w:iCs/>
        </w:rPr>
        <w:t xml:space="preserve">Varnava and Others v </w:t>
      </w:r>
      <w:r w:rsidR="007C62D8" w:rsidRPr="00627719">
        <w:rPr>
          <w:i/>
          <w:iCs/>
        </w:rPr>
        <w:t>Turkey</w:t>
      </w:r>
      <w:r w:rsidR="007C62D8" w:rsidRPr="00627719">
        <w:rPr>
          <w:iCs/>
        </w:rPr>
        <w:t>,</w:t>
      </w:r>
      <w:r w:rsidR="007C62D8" w:rsidRPr="00627719">
        <w:rPr>
          <w:i/>
          <w:iCs/>
        </w:rPr>
        <w:t xml:space="preserve"> </w:t>
      </w:r>
      <w:r w:rsidR="005200EF" w:rsidRPr="00627719">
        <w:t>cited above</w:t>
      </w:r>
      <w:r w:rsidR="007C62D8" w:rsidRPr="00627719">
        <w:t xml:space="preserve"> </w:t>
      </w:r>
      <w:r w:rsidR="00544F56" w:rsidRPr="00627719">
        <w:t xml:space="preserve">in </w:t>
      </w:r>
      <w:r w:rsidR="007C62D8" w:rsidRPr="00627719">
        <w:t>§</w:t>
      </w:r>
      <w:r w:rsidR="009666AC" w:rsidRPr="00627719">
        <w:t xml:space="preserve"> </w:t>
      </w:r>
      <w:fldSimple w:instr=" REF _Ref350156751 \r \h  \* MERGEFORMAT ">
        <w:r w:rsidR="0062115B">
          <w:t>34</w:t>
        </w:r>
      </w:fldSimple>
      <w:r w:rsidR="007C62D8" w:rsidRPr="00627719">
        <w:t>, at §§ 183-184</w:t>
      </w:r>
      <w:r w:rsidR="00F96434" w:rsidRPr="00627719">
        <w:t>)</w:t>
      </w:r>
      <w:r w:rsidR="007C62D8" w:rsidRPr="00627719">
        <w:t>.</w:t>
      </w:r>
      <w:bookmarkEnd w:id="17"/>
    </w:p>
    <w:p w:rsidR="0012508E" w:rsidRPr="00627719" w:rsidRDefault="0012508E" w:rsidP="00EC64DD">
      <w:pPr>
        <w:tabs>
          <w:tab w:val="left" w:pos="360"/>
        </w:tabs>
        <w:suppressAutoHyphens/>
        <w:autoSpaceDE w:val="0"/>
        <w:ind w:left="360" w:hanging="360"/>
        <w:jc w:val="both"/>
        <w:rPr>
          <w:b/>
          <w:lang w:val="en-GB"/>
        </w:rPr>
      </w:pPr>
    </w:p>
    <w:p w:rsidR="00F96434" w:rsidRPr="00627719" w:rsidRDefault="003261AD" w:rsidP="00EC64DD">
      <w:pPr>
        <w:numPr>
          <w:ilvl w:val="0"/>
          <w:numId w:val="5"/>
        </w:numPr>
        <w:tabs>
          <w:tab w:val="left" w:pos="360"/>
        </w:tabs>
        <w:suppressAutoHyphens/>
        <w:autoSpaceDE w:val="0"/>
        <w:ind w:left="360"/>
        <w:jc w:val="both"/>
        <w:rPr>
          <w:lang w:val="en-GB"/>
        </w:rPr>
      </w:pPr>
      <w:r w:rsidRPr="00627719">
        <w:rPr>
          <w:lang w:val="en-GB"/>
        </w:rPr>
        <w:t xml:space="preserve">The </w:t>
      </w:r>
      <w:r w:rsidR="00B0095F" w:rsidRPr="00627719">
        <w:rPr>
          <w:lang w:val="en-GB"/>
        </w:rPr>
        <w:t xml:space="preserve">European Court </w:t>
      </w:r>
      <w:r w:rsidRPr="00627719">
        <w:rPr>
          <w:lang w:val="en-GB"/>
        </w:rPr>
        <w:t xml:space="preserve">also states </w:t>
      </w:r>
      <w:r w:rsidR="00B0095F" w:rsidRPr="00627719">
        <w:rPr>
          <w:lang w:val="en-GB"/>
        </w:rPr>
        <w:t xml:space="preserve">that “... </w:t>
      </w:r>
      <w:r w:rsidR="00B0095F" w:rsidRPr="00627719">
        <w:t>it is for the Government either to argue conclusively why the documents in question cannot serve to corroborate the allegations made by the applicants, or to provide a satisfactory and convincing explanation of how the events in question occurred, failing which an issue under Article 2 and/or Article 3 of the Convention will arise</w:t>
      </w:r>
      <w:r w:rsidR="004F231E" w:rsidRPr="00627719">
        <w:t>”</w:t>
      </w:r>
      <w:r w:rsidR="00B0095F" w:rsidRPr="00627719">
        <w:t xml:space="preserve"> (see ECtHR, </w:t>
      </w:r>
      <w:r w:rsidR="00B0095F" w:rsidRPr="00627719">
        <w:rPr>
          <w:i/>
          <w:iCs/>
        </w:rPr>
        <w:t>Akkum and Others v</w:t>
      </w:r>
      <w:r w:rsidR="00544F56" w:rsidRPr="00627719">
        <w:rPr>
          <w:i/>
          <w:iCs/>
        </w:rPr>
        <w:t>.</w:t>
      </w:r>
      <w:r w:rsidR="00B0095F" w:rsidRPr="00627719">
        <w:rPr>
          <w:i/>
          <w:iCs/>
        </w:rPr>
        <w:t xml:space="preserve"> Turkey</w:t>
      </w:r>
      <w:r w:rsidR="00B0095F" w:rsidRPr="00627719">
        <w:t>, no. 21894/93, judgment of 24 June 2005, § 211, ECHR 2005-II (extracts)).</w:t>
      </w:r>
      <w:r w:rsidRPr="00627719">
        <w:t xml:space="preserve"> The Court adds that “… [i]f they [the authorities] then fail to disclose crucial documents to enable the Court to establish the facts or otherwise provide a satisfactory and convincing explanation, strong inferences may be drawn</w:t>
      </w:r>
      <w:r w:rsidR="00BB4131" w:rsidRPr="00627719">
        <w:t>”</w:t>
      </w:r>
      <w:r w:rsidRPr="00627719">
        <w:t xml:space="preserve"> (</w:t>
      </w:r>
      <w:r w:rsidRPr="00627719">
        <w:rPr>
          <w:lang w:val="en-GB"/>
        </w:rPr>
        <w:t xml:space="preserve">see ECtHR, </w:t>
      </w:r>
      <w:r w:rsidRPr="00627719">
        <w:rPr>
          <w:i/>
          <w:iCs/>
        </w:rPr>
        <w:t>Varnava and Others v Turkey</w:t>
      </w:r>
      <w:r w:rsidR="008E75E1" w:rsidRPr="00627719">
        <w:rPr>
          <w:iCs/>
        </w:rPr>
        <w:t xml:space="preserve"> [GC],</w:t>
      </w:r>
      <w:r w:rsidRPr="00627719">
        <w:rPr>
          <w:i/>
          <w:iCs/>
        </w:rPr>
        <w:t xml:space="preserve"> </w:t>
      </w:r>
      <w:r w:rsidRPr="00627719">
        <w:t>cited above</w:t>
      </w:r>
      <w:r w:rsidR="00A16C77" w:rsidRPr="00627719">
        <w:t xml:space="preserve">, </w:t>
      </w:r>
      <w:r w:rsidRPr="00627719">
        <w:t>at § 184</w:t>
      </w:r>
      <w:r w:rsidR="007F7B95" w:rsidRPr="00627719">
        <w:t>;</w:t>
      </w:r>
      <w:r w:rsidR="007F7B95" w:rsidRPr="00627719">
        <w:rPr>
          <w:lang w:val="en-GB"/>
        </w:rPr>
        <w:t xml:space="preserve"> </w:t>
      </w:r>
      <w:r w:rsidR="009031E4" w:rsidRPr="00627719">
        <w:rPr>
          <w:lang w:val="en-GB"/>
        </w:rPr>
        <w:t>s</w:t>
      </w:r>
      <w:r w:rsidR="00F96434" w:rsidRPr="00627719">
        <w:rPr>
          <w:lang w:val="en-GB"/>
        </w:rPr>
        <w:t>ee</w:t>
      </w:r>
      <w:r w:rsidR="007F7B95" w:rsidRPr="00627719">
        <w:rPr>
          <w:lang w:val="en-GB"/>
        </w:rPr>
        <w:t xml:space="preserve"> also</w:t>
      </w:r>
      <w:r w:rsidR="00F96434" w:rsidRPr="00627719">
        <w:t xml:space="preserve">, </w:t>
      </w:r>
      <w:r w:rsidR="0019447A" w:rsidRPr="00627719">
        <w:t>HRC</w:t>
      </w:r>
      <w:r w:rsidR="00F96434" w:rsidRPr="00627719">
        <w:t>,</w:t>
      </w:r>
      <w:r w:rsidR="00F96434" w:rsidRPr="00627719">
        <w:rPr>
          <w:i/>
        </w:rPr>
        <w:t xml:space="preserve"> Benaniza </w:t>
      </w:r>
      <w:r w:rsidR="00A40976" w:rsidRPr="00627719">
        <w:rPr>
          <w:i/>
        </w:rPr>
        <w:t>v</w:t>
      </w:r>
      <w:r w:rsidR="00F96434" w:rsidRPr="00627719">
        <w:rPr>
          <w:i/>
        </w:rPr>
        <w:t xml:space="preserve"> </w:t>
      </w:r>
      <w:r w:rsidR="00F96434" w:rsidRPr="00627719">
        <w:rPr>
          <w:i/>
          <w:lang w:val="en-GB"/>
        </w:rPr>
        <w:t>Algeria</w:t>
      </w:r>
      <w:r w:rsidR="008B4BDA" w:rsidRPr="00627719">
        <w:rPr>
          <w:i/>
          <w:lang w:val="en-GB"/>
        </w:rPr>
        <w:t>,</w:t>
      </w:r>
      <w:r w:rsidR="008B4BDA" w:rsidRPr="00627719">
        <w:rPr>
          <w:lang w:val="en-GB"/>
        </w:rPr>
        <w:t xml:space="preserve"> </w:t>
      </w:r>
      <w:r w:rsidR="00544F56" w:rsidRPr="00627719">
        <w:rPr>
          <w:lang w:val="en-GB"/>
        </w:rPr>
        <w:t>V</w:t>
      </w:r>
      <w:r w:rsidR="008B4BDA" w:rsidRPr="00627719">
        <w:rPr>
          <w:lang w:val="en-GB"/>
        </w:rPr>
        <w:t>iews</w:t>
      </w:r>
      <w:r w:rsidR="008B4BDA" w:rsidRPr="00627719">
        <w:t xml:space="preserve"> of 2</w:t>
      </w:r>
      <w:r w:rsidR="00F96434" w:rsidRPr="00627719">
        <w:t xml:space="preserve">6 </w:t>
      </w:r>
      <w:r w:rsidR="008B4BDA" w:rsidRPr="00627719">
        <w:t xml:space="preserve">July </w:t>
      </w:r>
      <w:r w:rsidR="00F96434" w:rsidRPr="00627719">
        <w:t>2010, § 9.4</w:t>
      </w:r>
      <w:bookmarkStart w:id="18" w:name="_GoBack"/>
      <w:bookmarkEnd w:id="18"/>
      <w:r w:rsidR="00F96434" w:rsidRPr="00627719">
        <w:t>, CCPR/C/99/D/1588/2007</w:t>
      </w:r>
      <w:r w:rsidR="008B4BDA" w:rsidRPr="00627719">
        <w:t xml:space="preserve">; </w:t>
      </w:r>
      <w:r w:rsidR="00544F56" w:rsidRPr="00627719">
        <w:t>HRC,</w:t>
      </w:r>
      <w:r w:rsidR="00544F56" w:rsidRPr="00627719">
        <w:rPr>
          <w:i/>
        </w:rPr>
        <w:t xml:space="preserve"> </w:t>
      </w:r>
      <w:r w:rsidR="008B4BDA" w:rsidRPr="00627719">
        <w:rPr>
          <w:i/>
        </w:rPr>
        <w:t>Bashasha</w:t>
      </w:r>
      <w:r w:rsidR="008B4BDA" w:rsidRPr="00627719">
        <w:rPr>
          <w:i/>
          <w:color w:val="000000"/>
        </w:rPr>
        <w:t xml:space="preserve"> v. Libyan Arab Jamahiriya</w:t>
      </w:r>
      <w:r w:rsidR="00544F56" w:rsidRPr="00627719">
        <w:rPr>
          <w:color w:val="000000"/>
        </w:rPr>
        <w:t>, V</w:t>
      </w:r>
      <w:r w:rsidR="008B4BDA" w:rsidRPr="00627719">
        <w:rPr>
          <w:color w:val="000000"/>
        </w:rPr>
        <w:t>iews of 20 October 2010, § 7.2, CCPR/C/100/D/1776/2008).</w:t>
      </w:r>
    </w:p>
    <w:p w:rsidR="003261AD" w:rsidRPr="00627719" w:rsidRDefault="003261AD" w:rsidP="00EC64DD">
      <w:pPr>
        <w:tabs>
          <w:tab w:val="left" w:pos="360"/>
        </w:tabs>
        <w:suppressAutoHyphens/>
        <w:autoSpaceDE w:val="0"/>
        <w:ind w:left="360" w:hanging="360"/>
        <w:jc w:val="both"/>
        <w:rPr>
          <w:lang w:val="en-GB"/>
        </w:rPr>
      </w:pPr>
    </w:p>
    <w:p w:rsidR="0022364D" w:rsidRPr="00627719" w:rsidRDefault="0055213A" w:rsidP="00EC64DD">
      <w:pPr>
        <w:numPr>
          <w:ilvl w:val="0"/>
          <w:numId w:val="5"/>
        </w:numPr>
        <w:tabs>
          <w:tab w:val="left" w:pos="360"/>
        </w:tabs>
        <w:suppressAutoHyphens/>
        <w:autoSpaceDE w:val="0"/>
        <w:ind w:left="360"/>
        <w:jc w:val="both"/>
        <w:rPr>
          <w:lang w:val="en-GB"/>
        </w:rPr>
      </w:pPr>
      <w:r w:rsidRPr="00627719">
        <w:rPr>
          <w:lang w:val="en-GB"/>
        </w:rPr>
        <w:t xml:space="preserve">The Panel understands that </w:t>
      </w:r>
      <w:r w:rsidR="00696442" w:rsidRPr="00627719">
        <w:rPr>
          <w:lang w:val="en-GB"/>
        </w:rPr>
        <w:t xml:space="preserve">the </w:t>
      </w:r>
      <w:r w:rsidR="0022364D" w:rsidRPr="00627719">
        <w:rPr>
          <w:lang w:val="en-GB"/>
        </w:rPr>
        <w:t>international</w:t>
      </w:r>
      <w:r w:rsidR="00696442" w:rsidRPr="00627719">
        <w:rPr>
          <w:lang w:val="en-GB"/>
        </w:rPr>
        <w:t xml:space="preserve"> jurisprudence </w:t>
      </w:r>
      <w:r w:rsidR="003C341F" w:rsidRPr="00627719">
        <w:rPr>
          <w:lang w:val="en-GB"/>
        </w:rPr>
        <w:t>has developed</w:t>
      </w:r>
      <w:r w:rsidR="00696442" w:rsidRPr="00627719">
        <w:rPr>
          <w:lang w:val="en-GB"/>
        </w:rPr>
        <w:t xml:space="preserve"> in a context </w:t>
      </w:r>
      <w:r w:rsidR="00E50312" w:rsidRPr="00627719">
        <w:rPr>
          <w:lang w:val="en-GB"/>
        </w:rPr>
        <w:t xml:space="preserve">where </w:t>
      </w:r>
      <w:r w:rsidR="00696442" w:rsidRPr="00627719">
        <w:rPr>
          <w:lang w:val="en-GB"/>
        </w:rPr>
        <w:t xml:space="preserve">the Government </w:t>
      </w:r>
      <w:r w:rsidR="00E50312" w:rsidRPr="00627719">
        <w:rPr>
          <w:lang w:val="en-GB"/>
        </w:rPr>
        <w:t xml:space="preserve">in question </w:t>
      </w:r>
      <w:r w:rsidR="00696442" w:rsidRPr="00627719">
        <w:rPr>
          <w:lang w:val="en-GB"/>
        </w:rPr>
        <w:t>may be involved</w:t>
      </w:r>
      <w:r w:rsidR="00355DCC" w:rsidRPr="00627719">
        <w:rPr>
          <w:lang w:val="en-GB"/>
        </w:rPr>
        <w:t xml:space="preserve"> in the substantive allegations</w:t>
      </w:r>
      <w:r w:rsidR="00696442" w:rsidRPr="00627719">
        <w:rPr>
          <w:lang w:val="en-GB"/>
        </w:rPr>
        <w:t>, which is not the case with UNMIK</w:t>
      </w:r>
      <w:r w:rsidRPr="00627719">
        <w:rPr>
          <w:lang w:val="en-GB"/>
        </w:rPr>
        <w:t>. T</w:t>
      </w:r>
      <w:r w:rsidR="00696442" w:rsidRPr="00627719">
        <w:rPr>
          <w:lang w:val="en-GB"/>
        </w:rPr>
        <w:t xml:space="preserve">he Panel nevertheless considers that since the documentation was under the exclusive control of UNMIK authorities, </w:t>
      </w:r>
      <w:r w:rsidRPr="00627719">
        <w:rPr>
          <w:lang w:val="en-GB"/>
        </w:rPr>
        <w:t xml:space="preserve">at least </w:t>
      </w:r>
      <w:r w:rsidR="00696442" w:rsidRPr="00627719">
        <w:rPr>
          <w:lang w:val="en-GB"/>
        </w:rPr>
        <w:t>until the handover to EULEX, the principle</w:t>
      </w:r>
      <w:r w:rsidR="00355DCC" w:rsidRPr="00627719">
        <w:rPr>
          <w:lang w:val="en-GB"/>
        </w:rPr>
        <w:t xml:space="preserve"> that</w:t>
      </w:r>
      <w:r w:rsidR="00696442" w:rsidRPr="00627719">
        <w:rPr>
          <w:lang w:val="en-GB"/>
        </w:rPr>
        <w:t xml:space="preserve"> </w:t>
      </w:r>
      <w:r w:rsidR="00C81172" w:rsidRPr="00627719">
        <w:rPr>
          <w:lang w:val="en-GB"/>
        </w:rPr>
        <w:t>“</w:t>
      </w:r>
      <w:r w:rsidR="0012508E" w:rsidRPr="00627719">
        <w:rPr>
          <w:color w:val="000000"/>
          <w:lang w:val="en-GB"/>
        </w:rPr>
        <w:t>strong</w:t>
      </w:r>
      <w:r w:rsidR="0019447A" w:rsidRPr="00627719">
        <w:rPr>
          <w:lang w:val="en-GB"/>
        </w:rPr>
        <w:t xml:space="preserve"> </w:t>
      </w:r>
      <w:r w:rsidR="00355DCC" w:rsidRPr="00627719">
        <w:rPr>
          <w:lang w:val="en-GB"/>
        </w:rPr>
        <w:t>inferences</w:t>
      </w:r>
      <w:r w:rsidR="00C81172" w:rsidRPr="00627719">
        <w:rPr>
          <w:lang w:val="en-GB"/>
        </w:rPr>
        <w:t>”</w:t>
      </w:r>
      <w:r w:rsidR="00355DCC" w:rsidRPr="00627719">
        <w:rPr>
          <w:lang w:val="en-GB"/>
        </w:rPr>
        <w:t xml:space="preserve"> may be drawn from lack of documentation</w:t>
      </w:r>
      <w:r w:rsidR="00355DCC" w:rsidRPr="00627719">
        <w:t xml:space="preserve"> </w:t>
      </w:r>
      <w:r w:rsidR="00696442" w:rsidRPr="00627719">
        <w:rPr>
          <w:lang w:val="en-GB"/>
        </w:rPr>
        <w:t>is applicable</w:t>
      </w:r>
      <w:r w:rsidR="00B029B6" w:rsidRPr="00627719">
        <w:rPr>
          <w:lang w:val="en-GB"/>
        </w:rPr>
        <w:t>.</w:t>
      </w:r>
    </w:p>
    <w:p w:rsidR="00696442" w:rsidRPr="00627719" w:rsidRDefault="00696442" w:rsidP="00EC64DD">
      <w:pPr>
        <w:tabs>
          <w:tab w:val="left" w:pos="360"/>
        </w:tabs>
        <w:suppressAutoHyphens/>
        <w:autoSpaceDE w:val="0"/>
        <w:ind w:left="360" w:hanging="360"/>
        <w:jc w:val="both"/>
        <w:rPr>
          <w:lang w:val="en-GB"/>
        </w:rPr>
      </w:pPr>
    </w:p>
    <w:p w:rsidR="0055213A" w:rsidRPr="00627719" w:rsidRDefault="005200EF" w:rsidP="00EC64DD">
      <w:pPr>
        <w:numPr>
          <w:ilvl w:val="0"/>
          <w:numId w:val="5"/>
        </w:numPr>
        <w:tabs>
          <w:tab w:val="left" w:pos="360"/>
        </w:tabs>
        <w:suppressAutoHyphens/>
        <w:autoSpaceDE w:val="0"/>
        <w:ind w:left="360"/>
        <w:jc w:val="both"/>
        <w:rPr>
          <w:i/>
          <w:color w:val="000000"/>
        </w:rPr>
      </w:pPr>
      <w:bookmarkStart w:id="19" w:name="_Ref348512105"/>
      <w:r w:rsidRPr="00627719">
        <w:rPr>
          <w:color w:val="000000"/>
        </w:rPr>
        <w:t>Second, t</w:t>
      </w:r>
      <w:r w:rsidR="0055213A" w:rsidRPr="00627719">
        <w:rPr>
          <w:color w:val="000000"/>
        </w:rPr>
        <w:t xml:space="preserve">he Panel notes that the positive obligation to investigate disappearances is widely accepted in international human rights law since at least the case of the Inter-American Court of Human Rights (IACtHR) </w:t>
      </w:r>
      <w:r w:rsidR="0055213A" w:rsidRPr="00627719">
        <w:rPr>
          <w:i/>
          <w:color w:val="000000"/>
        </w:rPr>
        <w:t>Velásquez</w:t>
      </w:r>
      <w:r w:rsidR="00544F56" w:rsidRPr="00627719">
        <w:rPr>
          <w:i/>
          <w:color w:val="000000"/>
        </w:rPr>
        <w:t>-</w:t>
      </w:r>
      <w:r w:rsidR="0055213A" w:rsidRPr="00627719">
        <w:rPr>
          <w:i/>
          <w:color w:val="000000"/>
        </w:rPr>
        <w:t xml:space="preserve">Rodríguez </w:t>
      </w:r>
      <w:r w:rsidR="0055213A" w:rsidRPr="00627719">
        <w:rPr>
          <w:color w:val="000000"/>
        </w:rPr>
        <w:t xml:space="preserve">(see IACtHR, </w:t>
      </w:r>
      <w:r w:rsidR="0055213A" w:rsidRPr="00627719">
        <w:rPr>
          <w:i/>
          <w:color w:val="000000"/>
        </w:rPr>
        <w:t>Velásquez</w:t>
      </w:r>
      <w:r w:rsidR="00544F56" w:rsidRPr="00627719">
        <w:rPr>
          <w:i/>
          <w:color w:val="000000"/>
        </w:rPr>
        <w:t>-</w:t>
      </w:r>
      <w:r w:rsidR="0055213A" w:rsidRPr="00627719">
        <w:rPr>
          <w:i/>
          <w:color w:val="000000"/>
        </w:rPr>
        <w:t>Rodríguez v. Honduras</w:t>
      </w:r>
      <w:r w:rsidR="0055213A" w:rsidRPr="00627719">
        <w:rPr>
          <w:color w:val="000000"/>
        </w:rPr>
        <w:t>, judgment of 29 July 1988</w:t>
      </w:r>
      <w:r w:rsidR="00544F56" w:rsidRPr="00627719">
        <w:rPr>
          <w:color w:val="000000"/>
        </w:rPr>
        <w:t>, Series C No. 4</w:t>
      </w:r>
      <w:r w:rsidR="0055213A" w:rsidRPr="00627719">
        <w:rPr>
          <w:color w:val="000000"/>
        </w:rPr>
        <w:t xml:space="preserve">). The positive obligation has also been stated by the </w:t>
      </w:r>
      <w:r w:rsidR="009031E4" w:rsidRPr="00627719">
        <w:rPr>
          <w:color w:val="000000"/>
        </w:rPr>
        <w:t xml:space="preserve">HRC </w:t>
      </w:r>
      <w:r w:rsidR="0055213A" w:rsidRPr="00627719">
        <w:rPr>
          <w:color w:val="000000"/>
        </w:rPr>
        <w:t xml:space="preserve">as stemming from Article 6 (right to life), Article 7 (prohibition of cruel and inhuman treatment) and Article 9 (right to liberty and security of person), read in conjunction with Article 2(3) (right to an </w:t>
      </w:r>
      <w:r w:rsidR="0055213A" w:rsidRPr="00627719">
        <w:rPr>
          <w:lang w:val="en-GB"/>
        </w:rPr>
        <w:t>effective</w:t>
      </w:r>
      <w:r w:rsidR="0055213A" w:rsidRPr="00627719">
        <w:rPr>
          <w:color w:val="000000"/>
        </w:rPr>
        <w:t xml:space="preserve"> remedy) of the </w:t>
      </w:r>
      <w:r w:rsidR="0022364D" w:rsidRPr="00627719">
        <w:rPr>
          <w:color w:val="000000"/>
        </w:rPr>
        <w:t>I</w:t>
      </w:r>
      <w:r w:rsidR="0055213A" w:rsidRPr="00627719">
        <w:rPr>
          <w:color w:val="000000"/>
        </w:rPr>
        <w:t>CCPR</w:t>
      </w:r>
      <w:r w:rsidR="00CD737D" w:rsidRPr="00627719">
        <w:rPr>
          <w:lang w:val="en-GB"/>
        </w:rPr>
        <w:t xml:space="preserve"> </w:t>
      </w:r>
      <w:r w:rsidR="0055213A" w:rsidRPr="00627719">
        <w:rPr>
          <w:color w:val="000000"/>
        </w:rPr>
        <w:t xml:space="preserve">(see HRC, General Comment No. 6, 30 April 1982, § 4; HRC, General Comment No. 31, 26 May 2004, §§ 8 and 18, CCPR/C/21/Rev.1/Add. 13; see also, among others, HRC, </w:t>
      </w:r>
      <w:r w:rsidR="0055213A" w:rsidRPr="00627719">
        <w:rPr>
          <w:i/>
          <w:color w:val="000000"/>
        </w:rPr>
        <w:t>Mohamed El Awani, v. Libyan Arab Jamahiriya</w:t>
      </w:r>
      <w:r w:rsidR="0055213A" w:rsidRPr="00627719">
        <w:rPr>
          <w:color w:val="000000"/>
        </w:rPr>
        <w:t xml:space="preserve">, </w:t>
      </w:r>
      <w:r w:rsidR="00C81172" w:rsidRPr="00627719">
        <w:rPr>
          <w:color w:val="000000"/>
        </w:rPr>
        <w:t>communication no. 1295/2004, views of 11 July 2007, CCPR/C/90/D/1295/2004</w:t>
      </w:r>
      <w:r w:rsidR="0055213A" w:rsidRPr="00627719">
        <w:rPr>
          <w:color w:val="000000"/>
        </w:rPr>
        <w:t>).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19"/>
    </w:p>
    <w:p w:rsidR="0055213A" w:rsidRPr="00627719" w:rsidRDefault="0055213A" w:rsidP="00EC64DD">
      <w:pPr>
        <w:pStyle w:val="ListParagraph"/>
        <w:tabs>
          <w:tab w:val="left" w:pos="360"/>
        </w:tabs>
        <w:ind w:left="360" w:hanging="360"/>
        <w:jc w:val="both"/>
        <w:rPr>
          <w:color w:val="000000"/>
          <w:lang w:eastAsia="en-US"/>
        </w:rPr>
      </w:pPr>
    </w:p>
    <w:p w:rsidR="0055213A" w:rsidRPr="00627719" w:rsidRDefault="0055213A" w:rsidP="00EC64DD">
      <w:pPr>
        <w:numPr>
          <w:ilvl w:val="0"/>
          <w:numId w:val="5"/>
        </w:numPr>
        <w:tabs>
          <w:tab w:val="left" w:pos="360"/>
        </w:tabs>
        <w:suppressAutoHyphens/>
        <w:autoSpaceDE w:val="0"/>
        <w:ind w:left="360"/>
        <w:jc w:val="both"/>
        <w:rPr>
          <w:color w:val="000000"/>
        </w:rPr>
      </w:pPr>
      <w:bookmarkStart w:id="20" w:name="_Ref347561805"/>
      <w:r w:rsidRPr="00627719">
        <w:rPr>
          <w:color w:val="000000"/>
        </w:rPr>
        <w:t>In order to address the complainant’s allegations, the Panel refers</w:t>
      </w:r>
      <w:r w:rsidR="005200EF" w:rsidRPr="00627719">
        <w:rPr>
          <w:color w:val="000000"/>
        </w:rPr>
        <w:t>, in particular,</w:t>
      </w:r>
      <w:r w:rsidRPr="00627719">
        <w:rPr>
          <w:color w:val="000000"/>
        </w:rPr>
        <w:t xml:space="preserve"> to the well-established case</w:t>
      </w:r>
      <w:r w:rsidR="00E4269E" w:rsidRPr="00627719">
        <w:rPr>
          <w:color w:val="000000"/>
        </w:rPr>
        <w:t>-</w:t>
      </w:r>
      <w:r w:rsidRPr="00627719">
        <w:rPr>
          <w:color w:val="000000"/>
        </w:rPr>
        <w:t xml:space="preserve">law of the European Court on Human Rights on the procedural obligation under Article 2 of the ECHR. The Court has held that “[The] obligation to protect the right to life </w:t>
      </w:r>
      <w:r w:rsidRPr="00627719">
        <w:rPr>
          <w:lang w:val="en-GB"/>
        </w:rPr>
        <w:t>under</w:t>
      </w:r>
      <w:r w:rsidRPr="00627719">
        <w:rPr>
          <w:color w:val="000000"/>
        </w:rPr>
        <w:t xml:space="preserve">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627719">
        <w:rPr>
          <w:i/>
          <w:color w:val="000000"/>
        </w:rPr>
        <w:t>mutatis mutandis</w:t>
      </w:r>
      <w:r w:rsidRPr="00627719">
        <w:rPr>
          <w:color w:val="000000"/>
        </w:rPr>
        <w:t xml:space="preserve">, ECtHR, </w:t>
      </w:r>
      <w:r w:rsidRPr="00627719">
        <w:rPr>
          <w:i/>
          <w:color w:val="000000"/>
        </w:rPr>
        <w:t>McCann and Others v. the United Kingdom</w:t>
      </w:r>
      <w:r w:rsidRPr="00627719">
        <w:rPr>
          <w:color w:val="000000"/>
        </w:rPr>
        <w:t xml:space="preserve">, judgment of 27 September 1995, § 161, Series A no. 324; and </w:t>
      </w:r>
      <w:r w:rsidR="00012218" w:rsidRPr="00627719">
        <w:rPr>
          <w:color w:val="000000"/>
        </w:rPr>
        <w:t xml:space="preserve">ECtHR, </w:t>
      </w:r>
      <w:r w:rsidRPr="00627719">
        <w:rPr>
          <w:i/>
          <w:color w:val="000000"/>
        </w:rPr>
        <w:t>Kaya v. Turkey</w:t>
      </w:r>
      <w:r w:rsidRPr="00627719">
        <w:rPr>
          <w:color w:val="000000"/>
        </w:rPr>
        <w:t xml:space="preserve">, judgment of 19 February 1998, § 105, </w:t>
      </w:r>
      <w:r w:rsidR="00D4014A" w:rsidRPr="00627719">
        <w:rPr>
          <w:color w:val="000000"/>
        </w:rPr>
        <w:t xml:space="preserve">Reports </w:t>
      </w:r>
      <w:r w:rsidRPr="00627719">
        <w:rPr>
          <w:color w:val="000000"/>
        </w:rPr>
        <w:t>1998-I</w:t>
      </w:r>
      <w:r w:rsidR="00D4014A" w:rsidRPr="00627719">
        <w:rPr>
          <w:color w:val="000000"/>
        </w:rPr>
        <w:t>;</w:t>
      </w:r>
      <w:r w:rsidR="0019447A" w:rsidRPr="00627719">
        <w:rPr>
          <w:color w:val="000000"/>
        </w:rPr>
        <w:t xml:space="preserve"> </w:t>
      </w:r>
      <w:r w:rsidRPr="00627719">
        <w:rPr>
          <w:color w:val="000000"/>
        </w:rPr>
        <w:t xml:space="preserve">see also ECtHR, </w:t>
      </w:r>
      <w:r w:rsidRPr="00627719">
        <w:rPr>
          <w:i/>
          <w:color w:val="000000"/>
        </w:rPr>
        <w:t>Jasinskis v. Latvia</w:t>
      </w:r>
      <w:r w:rsidRPr="00627719">
        <w:rPr>
          <w:color w:val="000000"/>
        </w:rPr>
        <w:t xml:space="preserve">, no. 45744/08, judgment of 21 December 2010, § 71). The duty to conduct such an investigation arises in all cases of killing and other suspicious death, whether the perpetrators were private persons or State agents or are unknown (see ECtHR, </w:t>
      </w:r>
      <w:r w:rsidRPr="00627719">
        <w:rPr>
          <w:i/>
          <w:color w:val="000000"/>
        </w:rPr>
        <w:t>Kolevi v. Bulgaria</w:t>
      </w:r>
      <w:r w:rsidRPr="00627719">
        <w:rPr>
          <w:color w:val="000000"/>
        </w:rPr>
        <w:t>, no. 1108/02, judgment of 5 November 2009, § 191).</w:t>
      </w:r>
      <w:bookmarkEnd w:id="20"/>
    </w:p>
    <w:p w:rsidR="00005EDC" w:rsidRPr="00627719" w:rsidRDefault="00005EDC" w:rsidP="00EC64DD">
      <w:pPr>
        <w:pStyle w:val="ListParagraph"/>
        <w:tabs>
          <w:tab w:val="left" w:pos="360"/>
        </w:tabs>
        <w:suppressAutoHyphens w:val="0"/>
        <w:ind w:left="360" w:hanging="360"/>
        <w:contextualSpacing/>
        <w:jc w:val="both"/>
        <w:rPr>
          <w:color w:val="000000"/>
          <w:lang w:eastAsia="en-US"/>
        </w:rPr>
      </w:pPr>
    </w:p>
    <w:p w:rsidR="0055213A" w:rsidRPr="00627719" w:rsidRDefault="0055213A" w:rsidP="00EC64DD">
      <w:pPr>
        <w:numPr>
          <w:ilvl w:val="0"/>
          <w:numId w:val="5"/>
        </w:numPr>
        <w:tabs>
          <w:tab w:val="left" w:pos="360"/>
        </w:tabs>
        <w:suppressAutoHyphens/>
        <w:autoSpaceDE w:val="0"/>
        <w:ind w:left="360"/>
        <w:jc w:val="both"/>
        <w:rPr>
          <w:color w:val="000000"/>
        </w:rPr>
      </w:pPr>
      <w:r w:rsidRPr="00627719">
        <w:rPr>
          <w:color w:val="000000"/>
        </w:rPr>
        <w:t xml:space="preserve">The European Court has also stated that the procedural obligation to provide some form of effective </w:t>
      </w:r>
      <w:r w:rsidRPr="00627719">
        <w:rPr>
          <w:lang w:val="en-GB"/>
        </w:rPr>
        <w:t>official</w:t>
      </w:r>
      <w:r w:rsidRPr="00627719">
        <w:rPr>
          <w:color w:val="000000"/>
        </w:rPr>
        <w:t xml:space="preserve"> investigation exists also when an individual has gone missing in life-threatening circumstances and is not confined to cases where it is apparent that the disappearance was caused by an agent of the State (see ECtHR </w:t>
      </w:r>
      <w:r w:rsidR="00620B0C" w:rsidRPr="00627719">
        <w:rPr>
          <w:color w:val="000000"/>
        </w:rPr>
        <w:t>[GC]</w:t>
      </w:r>
      <w:r w:rsidRPr="00627719">
        <w:rPr>
          <w:color w:val="000000"/>
        </w:rPr>
        <w:t xml:space="preserve">, </w:t>
      </w:r>
      <w:r w:rsidRPr="00627719">
        <w:rPr>
          <w:i/>
          <w:color w:val="000000"/>
        </w:rPr>
        <w:t>Varnava and Others v. Turkey</w:t>
      </w:r>
      <w:r w:rsidRPr="00627719">
        <w:rPr>
          <w:color w:val="000000"/>
        </w:rPr>
        <w:t>,</w:t>
      </w:r>
      <w:r w:rsidRPr="00627719">
        <w:t xml:space="preserve"> </w:t>
      </w:r>
      <w:r w:rsidRPr="00627719">
        <w:rPr>
          <w:color w:val="000000"/>
        </w:rPr>
        <w:t>cited in §</w:t>
      </w:r>
      <w:r w:rsidR="009666AC" w:rsidRPr="00627719">
        <w:rPr>
          <w:color w:val="000000"/>
        </w:rPr>
        <w:t xml:space="preserve"> </w:t>
      </w:r>
      <w:fldSimple w:instr=" REF _Ref350156751 \r \h  \* MERGEFORMAT ">
        <w:r w:rsidR="0062115B">
          <w:t>34</w:t>
        </w:r>
      </w:fldSimple>
      <w:r w:rsidR="009666AC" w:rsidRPr="00627719">
        <w:t>,</w:t>
      </w:r>
      <w:r w:rsidR="00437834" w:rsidRPr="00627719">
        <w:rPr>
          <w:color w:val="000000"/>
        </w:rPr>
        <w:t xml:space="preserve"> </w:t>
      </w:r>
      <w:r w:rsidRPr="00627719">
        <w:rPr>
          <w:color w:val="000000"/>
        </w:rPr>
        <w:t xml:space="preserve">above, </w:t>
      </w:r>
      <w:r w:rsidR="00437834" w:rsidRPr="00627719">
        <w:rPr>
          <w:color w:val="000000"/>
        </w:rPr>
        <w:t xml:space="preserve">at </w:t>
      </w:r>
      <w:r w:rsidRPr="00627719">
        <w:rPr>
          <w:color w:val="000000"/>
        </w:rPr>
        <w:t>§ 136).</w:t>
      </w:r>
    </w:p>
    <w:p w:rsidR="0055213A" w:rsidRPr="00627719" w:rsidRDefault="0055213A" w:rsidP="00EC64DD">
      <w:pPr>
        <w:tabs>
          <w:tab w:val="left" w:pos="360"/>
        </w:tabs>
        <w:ind w:left="360" w:hanging="360"/>
        <w:rPr>
          <w:color w:val="000000"/>
        </w:rPr>
      </w:pPr>
    </w:p>
    <w:p w:rsidR="0055213A" w:rsidRPr="00627719" w:rsidRDefault="0055213A" w:rsidP="00EC64DD">
      <w:pPr>
        <w:numPr>
          <w:ilvl w:val="0"/>
          <w:numId w:val="5"/>
        </w:numPr>
        <w:tabs>
          <w:tab w:val="left" w:pos="360"/>
        </w:tabs>
        <w:suppressAutoHyphens/>
        <w:autoSpaceDE w:val="0"/>
        <w:ind w:left="360"/>
        <w:jc w:val="both"/>
        <w:rPr>
          <w:color w:val="000000"/>
        </w:rPr>
      </w:pPr>
      <w:bookmarkStart w:id="21" w:name="_Ref346723791"/>
      <w:r w:rsidRPr="00627719">
        <w:rPr>
          <w:color w:val="000000"/>
        </w:rPr>
        <w:t xml:space="preserve">The authorities must act of their own motion once the matter has come to their attention, and they cannot leave it to the initiative of the next-of-kin either to lodge a formal </w:t>
      </w:r>
      <w:r w:rsidRPr="00627719">
        <w:rPr>
          <w:lang w:val="en-GB"/>
        </w:rPr>
        <w:t>complaint</w:t>
      </w:r>
      <w:r w:rsidRPr="00627719">
        <w:rPr>
          <w:color w:val="000000"/>
        </w:rPr>
        <w:t xml:space="preserve"> or to take responsibility for the conduct of any investigative procedure (see ECtHR, </w:t>
      </w:r>
      <w:r w:rsidRPr="00627719">
        <w:rPr>
          <w:i/>
          <w:color w:val="000000"/>
        </w:rPr>
        <w:t>Ahmet Özkan and Others v. Turkey</w:t>
      </w:r>
      <w:r w:rsidRPr="00627719">
        <w:rPr>
          <w:color w:val="000000"/>
        </w:rPr>
        <w:t xml:space="preserve">, no. 21689/93, </w:t>
      </w:r>
      <w:r w:rsidR="00D4014A" w:rsidRPr="00627719">
        <w:rPr>
          <w:color w:val="000000"/>
        </w:rPr>
        <w:t>judgment of 6 April 2004, § 310;</w:t>
      </w:r>
      <w:r w:rsidRPr="00627719">
        <w:rPr>
          <w:color w:val="000000"/>
        </w:rPr>
        <w:t xml:space="preserve"> see also ECtHR, </w:t>
      </w:r>
      <w:r w:rsidRPr="00627719">
        <w:rPr>
          <w:i/>
          <w:color w:val="000000"/>
        </w:rPr>
        <w:t>Isayeva v. Russia</w:t>
      </w:r>
      <w:r w:rsidRPr="00627719">
        <w:rPr>
          <w:color w:val="000000"/>
        </w:rPr>
        <w:t>, no. 57950/00, judgment of 24 February 2005, § 210).</w:t>
      </w:r>
      <w:bookmarkEnd w:id="21"/>
    </w:p>
    <w:p w:rsidR="00EE4D62" w:rsidRPr="00627719" w:rsidRDefault="00EE4D62" w:rsidP="00EC64DD">
      <w:pPr>
        <w:tabs>
          <w:tab w:val="left" w:pos="360"/>
        </w:tabs>
        <w:suppressAutoHyphens/>
        <w:autoSpaceDE w:val="0"/>
        <w:ind w:left="360" w:hanging="360"/>
        <w:jc w:val="both"/>
      </w:pPr>
    </w:p>
    <w:p w:rsidR="0055213A" w:rsidRPr="00627719" w:rsidRDefault="0055213A" w:rsidP="00EC64DD">
      <w:pPr>
        <w:numPr>
          <w:ilvl w:val="0"/>
          <w:numId w:val="5"/>
        </w:numPr>
        <w:tabs>
          <w:tab w:val="left" w:pos="360"/>
        </w:tabs>
        <w:suppressAutoHyphens/>
        <w:autoSpaceDE w:val="0"/>
        <w:ind w:left="360"/>
        <w:jc w:val="both"/>
        <w:rPr>
          <w:color w:val="000000"/>
        </w:rPr>
      </w:pPr>
      <w:bookmarkStart w:id="22" w:name="_Ref346724174"/>
      <w:r w:rsidRPr="00627719">
        <w:rPr>
          <w:color w:val="000000"/>
        </w:rPr>
        <w:t>Setting out the standards of an effective investigation, the Court has stated that “beside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w:t>
      </w:r>
      <w:r w:rsidR="000F595E" w:rsidRPr="00627719">
        <w:rPr>
          <w:color w:val="000000"/>
        </w:rPr>
        <w:t xml:space="preserve"> [GC]</w:t>
      </w:r>
      <w:r w:rsidRPr="00627719">
        <w:rPr>
          <w:i/>
          <w:color w:val="000000"/>
        </w:rPr>
        <w:t>, Varnava and Others v. Turkey</w:t>
      </w:r>
      <w:r w:rsidRPr="00627719">
        <w:rPr>
          <w:color w:val="000000"/>
        </w:rPr>
        <w:t xml:space="preserve">, cited </w:t>
      </w:r>
      <w:r w:rsidR="00437834" w:rsidRPr="00627719">
        <w:rPr>
          <w:color w:val="000000"/>
        </w:rPr>
        <w:t xml:space="preserve">in </w:t>
      </w:r>
      <w:r w:rsidR="009666AC" w:rsidRPr="00627719">
        <w:t xml:space="preserve">§ </w:t>
      </w:r>
      <w:fldSimple w:instr=" REF _Ref350156751 \r \h  \* MERGEFORMAT ">
        <w:r w:rsidR="0062115B">
          <w:t>34</w:t>
        </w:r>
      </w:fldSimple>
      <w:r w:rsidR="009666AC" w:rsidRPr="00627719">
        <w:t>,</w:t>
      </w:r>
      <w:r w:rsidR="00437834" w:rsidRPr="00627719">
        <w:rPr>
          <w:color w:val="000000"/>
        </w:rPr>
        <w:t xml:space="preserve"> above, at </w:t>
      </w:r>
      <w:r w:rsidRPr="00627719">
        <w:rPr>
          <w:color w:val="000000"/>
        </w:rPr>
        <w:t xml:space="preserve">§ 191; see also ECtHR, </w:t>
      </w:r>
      <w:r w:rsidRPr="00627719">
        <w:rPr>
          <w:i/>
          <w:color w:val="000000"/>
        </w:rPr>
        <w:t>Palić v. Bosnia and Herzegovina</w:t>
      </w:r>
      <w:r w:rsidRPr="00627719">
        <w:rPr>
          <w:color w:val="000000"/>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627719">
        <w:rPr>
          <w:i/>
          <w:color w:val="000000"/>
        </w:rPr>
        <w:t>Ahmet Özkan and Others v. Turkey</w:t>
      </w:r>
      <w:r w:rsidRPr="00627719">
        <w:rPr>
          <w:color w:val="000000"/>
        </w:rPr>
        <w:t xml:space="preserve">, cited </w:t>
      </w:r>
      <w:r w:rsidR="00C81172" w:rsidRPr="00627719">
        <w:rPr>
          <w:color w:val="000000"/>
        </w:rPr>
        <w:t xml:space="preserve">in § </w:t>
      </w:r>
      <w:fldSimple w:instr=" REF _Ref346723791 \r \h  \* MERGEFORMAT ">
        <w:r w:rsidR="0062115B" w:rsidRPr="0062115B">
          <w:rPr>
            <w:color w:val="000000"/>
          </w:rPr>
          <w:t>54</w:t>
        </w:r>
      </w:fldSimple>
      <w:r w:rsidR="00C81172" w:rsidRPr="00627719">
        <w:rPr>
          <w:color w:val="000000"/>
        </w:rPr>
        <w:t xml:space="preserve"> </w:t>
      </w:r>
      <w:r w:rsidRPr="00627719">
        <w:rPr>
          <w:color w:val="000000"/>
        </w:rPr>
        <w:t xml:space="preserve">above, </w:t>
      </w:r>
      <w:r w:rsidR="0075125C" w:rsidRPr="00627719">
        <w:rPr>
          <w:color w:val="000000"/>
        </w:rPr>
        <w:t xml:space="preserve">at </w:t>
      </w:r>
      <w:r w:rsidRPr="00627719">
        <w:rPr>
          <w:color w:val="000000"/>
        </w:rPr>
        <w:t>§ 312</w:t>
      </w:r>
      <w:r w:rsidR="0075125C" w:rsidRPr="00627719">
        <w:rPr>
          <w:color w:val="000000"/>
        </w:rPr>
        <w:t>;</w:t>
      </w:r>
      <w:r w:rsidRPr="00627719">
        <w:rPr>
          <w:color w:val="000000"/>
        </w:rPr>
        <w:t xml:space="preserve"> and</w:t>
      </w:r>
      <w:r w:rsidRPr="00627719">
        <w:rPr>
          <w:i/>
          <w:color w:val="000000"/>
        </w:rPr>
        <w:t xml:space="preserve"> Isayeva v. Russia</w:t>
      </w:r>
      <w:r w:rsidRPr="00627719">
        <w:rPr>
          <w:color w:val="000000"/>
        </w:rPr>
        <w:t xml:space="preserve">, cited </w:t>
      </w:r>
      <w:r w:rsidR="00C81172" w:rsidRPr="00627719">
        <w:rPr>
          <w:color w:val="000000"/>
        </w:rPr>
        <w:t xml:space="preserve">in § </w:t>
      </w:r>
      <w:fldSimple w:instr=" REF _Ref346723791 \r \h  \* MERGEFORMAT ">
        <w:r w:rsidR="0062115B" w:rsidRPr="0062115B">
          <w:rPr>
            <w:color w:val="000000"/>
          </w:rPr>
          <w:t>54</w:t>
        </w:r>
      </w:fldSimple>
      <w:r w:rsidR="00C81172" w:rsidRPr="00627719">
        <w:rPr>
          <w:color w:val="000000"/>
        </w:rPr>
        <w:t xml:space="preserve"> </w:t>
      </w:r>
      <w:r w:rsidRPr="00627719">
        <w:rPr>
          <w:color w:val="000000"/>
        </w:rPr>
        <w:t>above, at § 212).</w:t>
      </w:r>
      <w:bookmarkEnd w:id="22"/>
    </w:p>
    <w:p w:rsidR="00EE4D62" w:rsidRPr="00627719" w:rsidRDefault="00EE4D62" w:rsidP="00EC64DD">
      <w:pPr>
        <w:tabs>
          <w:tab w:val="left" w:pos="360"/>
        </w:tabs>
        <w:suppressAutoHyphens/>
        <w:autoSpaceDE w:val="0"/>
        <w:ind w:left="360" w:hanging="360"/>
        <w:jc w:val="both"/>
      </w:pPr>
    </w:p>
    <w:p w:rsidR="00EE4D62" w:rsidRPr="00627719" w:rsidRDefault="00831AA2" w:rsidP="00EC64DD">
      <w:pPr>
        <w:numPr>
          <w:ilvl w:val="0"/>
          <w:numId w:val="5"/>
        </w:numPr>
        <w:tabs>
          <w:tab w:val="left" w:pos="360"/>
        </w:tabs>
        <w:suppressAutoHyphens/>
        <w:autoSpaceDE w:val="0"/>
        <w:ind w:left="360"/>
        <w:jc w:val="both"/>
        <w:rPr>
          <w:lang w:val="en-GB"/>
        </w:rPr>
      </w:pPr>
      <w:r w:rsidRPr="00627719">
        <w:rPr>
          <w:color w:val="000000"/>
        </w:rPr>
        <w:t xml:space="preserve">In particular, the </w:t>
      </w:r>
      <w:r w:rsidRPr="00627719">
        <w:t>investigation’s conclusion must be based on thorough, objective and impartial analysis of all relevant elements. Failing</w:t>
      </w:r>
      <w:r w:rsidRPr="00627719">
        <w:rPr>
          <w:color w:val="000000"/>
        </w:rPr>
        <w:t xml:space="preserve"> to follow an obvious line of enquiry undermines to a decisive extent the investigation’s ability to establish the circumstances of the case and the identity of those responsible (see ECtHR, </w:t>
      </w:r>
      <w:r w:rsidRPr="00627719">
        <w:rPr>
          <w:i/>
          <w:color w:val="000000"/>
        </w:rPr>
        <w:t>Kolevi v. Bulgaria</w:t>
      </w:r>
      <w:r w:rsidRPr="00627719">
        <w:rPr>
          <w:color w:val="000000"/>
        </w:rPr>
        <w:t xml:space="preserve">, cited </w:t>
      </w:r>
      <w:r w:rsidR="00D4456A" w:rsidRPr="00627719">
        <w:rPr>
          <w:color w:val="000000"/>
        </w:rPr>
        <w:t xml:space="preserve">in § </w:t>
      </w:r>
      <w:fldSimple w:instr=" REF _Ref347561805 \r \h  \* MERGEFORMAT ">
        <w:r w:rsidR="0062115B" w:rsidRPr="0062115B">
          <w:rPr>
            <w:color w:val="000000"/>
          </w:rPr>
          <w:t>52</w:t>
        </w:r>
      </w:fldSimple>
      <w:r w:rsidR="00C96864" w:rsidRPr="00627719">
        <w:rPr>
          <w:color w:val="000000"/>
        </w:rPr>
        <w:t xml:space="preserve"> </w:t>
      </w:r>
      <w:r w:rsidR="00784294" w:rsidRPr="00627719">
        <w:rPr>
          <w:color w:val="000000"/>
        </w:rPr>
        <w:t>above</w:t>
      </w:r>
      <w:r w:rsidRPr="00627719">
        <w:rPr>
          <w:color w:val="000000"/>
        </w:rPr>
        <w:t xml:space="preserve">, </w:t>
      </w:r>
      <w:r w:rsidR="00D4456A" w:rsidRPr="00627719">
        <w:rPr>
          <w:color w:val="000000"/>
        </w:rPr>
        <w:t xml:space="preserve">at </w:t>
      </w:r>
      <w:r w:rsidRPr="00627719">
        <w:rPr>
          <w:color w:val="000000"/>
        </w:rPr>
        <w:t xml:space="preserve">§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627719">
        <w:rPr>
          <w:i/>
          <w:color w:val="000000"/>
        </w:rPr>
        <w:t>Velcea and Maz</w:t>
      </w:r>
      <w:r w:rsidRPr="00627719">
        <w:rPr>
          <w:i/>
        </w:rPr>
        <w:t>ăre</w:t>
      </w:r>
      <w:r w:rsidRPr="00627719">
        <w:t xml:space="preserve"> </w:t>
      </w:r>
      <w:r w:rsidRPr="00627719">
        <w:rPr>
          <w:i/>
        </w:rPr>
        <w:t>v. Romania</w:t>
      </w:r>
      <w:r w:rsidRPr="00627719">
        <w:t xml:space="preserve">, no. 64301/01, judgment of 1 December 2009, § 105). </w:t>
      </w:r>
    </w:p>
    <w:p w:rsidR="00EE4D62" w:rsidRPr="00627719" w:rsidRDefault="00EE4D62" w:rsidP="00EC64DD">
      <w:pPr>
        <w:pStyle w:val="ListParagraph"/>
        <w:tabs>
          <w:tab w:val="left" w:pos="360"/>
        </w:tabs>
        <w:ind w:left="360" w:hanging="360"/>
      </w:pPr>
    </w:p>
    <w:p w:rsidR="00EE4D62" w:rsidRPr="00627719" w:rsidRDefault="00831AA2" w:rsidP="00620B0C">
      <w:pPr>
        <w:numPr>
          <w:ilvl w:val="0"/>
          <w:numId w:val="5"/>
        </w:numPr>
        <w:tabs>
          <w:tab w:val="left" w:pos="360"/>
        </w:tabs>
        <w:suppressAutoHyphens/>
        <w:autoSpaceDE w:val="0"/>
        <w:ind w:left="360"/>
        <w:jc w:val="both"/>
        <w:rPr>
          <w:lang w:val="en-GB"/>
        </w:rPr>
      </w:pPr>
      <w:bookmarkStart w:id="23" w:name="_Ref342300077"/>
      <w:r w:rsidRPr="00627719">
        <w:t xml:space="preserve">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627719">
        <w:rPr>
          <w:i/>
        </w:rPr>
        <w:t>Palić v. Bosnia and Herzegovina</w:t>
      </w:r>
      <w:r w:rsidRPr="00627719">
        <w:t xml:space="preserve">, cited </w:t>
      </w:r>
      <w:r w:rsidR="00F96FB1" w:rsidRPr="00627719">
        <w:t>in §</w:t>
      </w:r>
      <w:r w:rsidR="00437834" w:rsidRPr="00627719">
        <w:t xml:space="preserve"> </w:t>
      </w:r>
      <w:fldSimple w:instr=" REF _Ref346724174 \r \h  \* MERGEFORMAT ">
        <w:r w:rsidR="0062115B">
          <w:t>55</w:t>
        </w:r>
      </w:fldSimple>
      <w:r w:rsidR="00437834" w:rsidRPr="00627719">
        <w:t xml:space="preserve"> above</w:t>
      </w:r>
      <w:r w:rsidR="00F96FB1" w:rsidRPr="00627719">
        <w:t xml:space="preserve">, at </w:t>
      </w:r>
      <w:r w:rsidRPr="00627719">
        <w:t xml:space="preserve">§ 46; in the same sense ECtHR </w:t>
      </w:r>
      <w:r w:rsidR="001D143B" w:rsidRPr="00627719">
        <w:t>[GC]</w:t>
      </w:r>
      <w:r w:rsidR="00DD7795" w:rsidRPr="00627719">
        <w:t>,</w:t>
      </w:r>
      <w:r w:rsidR="001D143B" w:rsidRPr="00627719">
        <w:t xml:space="preserve"> </w:t>
      </w:r>
      <w:r w:rsidRPr="00627719">
        <w:rPr>
          <w:i/>
        </w:rPr>
        <w:t>Varnava and Others v. Turkey</w:t>
      </w:r>
      <w:r w:rsidRPr="00627719">
        <w:t xml:space="preserve">, </w:t>
      </w:r>
      <w:r w:rsidR="005200EF" w:rsidRPr="00627719">
        <w:t>cited</w:t>
      </w:r>
      <w:r w:rsidR="00437834" w:rsidRPr="00627719">
        <w:rPr>
          <w:color w:val="000000"/>
        </w:rPr>
        <w:t xml:space="preserve"> </w:t>
      </w:r>
      <w:r w:rsidR="00C96864" w:rsidRPr="00627719">
        <w:rPr>
          <w:color w:val="000000"/>
        </w:rPr>
        <w:t xml:space="preserve">in </w:t>
      </w:r>
      <w:r w:rsidR="009666AC" w:rsidRPr="00627719">
        <w:t xml:space="preserve">§ </w:t>
      </w:r>
      <w:fldSimple w:instr=" REF _Ref350156751 \r \h  \* MERGEFORMAT ">
        <w:r w:rsidR="0062115B">
          <w:t>34</w:t>
        </w:r>
      </w:fldSimple>
      <w:r w:rsidR="00437834" w:rsidRPr="00627719">
        <w:rPr>
          <w:color w:val="000000"/>
        </w:rPr>
        <w:t xml:space="preserve"> above, at </w:t>
      </w:r>
      <w:r w:rsidRPr="00627719">
        <w:t>§ 148</w:t>
      </w:r>
      <w:r w:rsidR="00C96864" w:rsidRPr="00627719">
        <w:t xml:space="preserve">, </w:t>
      </w:r>
      <w:r w:rsidR="00C96864" w:rsidRPr="00627719">
        <w:rPr>
          <w:i/>
          <w:color w:val="000000"/>
        </w:rPr>
        <w:t xml:space="preserve">Aslakhanova and </w:t>
      </w:r>
      <w:r w:rsidR="009404D0" w:rsidRPr="00627719">
        <w:rPr>
          <w:i/>
          <w:color w:val="000000"/>
        </w:rPr>
        <w:t>O</w:t>
      </w:r>
      <w:r w:rsidR="00C96864" w:rsidRPr="00627719">
        <w:rPr>
          <w:i/>
          <w:color w:val="000000"/>
        </w:rPr>
        <w:t>thers v. Russia</w:t>
      </w:r>
      <w:r w:rsidR="00C96864" w:rsidRPr="00627719">
        <w:rPr>
          <w:color w:val="000000"/>
        </w:rPr>
        <w:t>, nos. 2944/06 and others, judgment of 18 December 2012, § 12</w:t>
      </w:r>
      <w:r w:rsidR="00895F4A" w:rsidRPr="00627719">
        <w:rPr>
          <w:rFonts w:cs="CAGLHH+TimesNewRoman"/>
          <w:color w:val="000000"/>
          <w:lang w:val="en-GB"/>
        </w:rPr>
        <w:t>2</w:t>
      </w:r>
      <w:r w:rsidRPr="00627719">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627719">
        <w:rPr>
          <w:i/>
        </w:rPr>
        <w:t>Palić v. Bosnia and Herzegovina</w:t>
      </w:r>
      <w:r w:rsidRPr="00627719">
        <w:t xml:space="preserve">, cited above, at § 46; in the same sense ECtHR </w:t>
      </w:r>
      <w:r w:rsidR="00620B0C" w:rsidRPr="00627719">
        <w:t>[GC],</w:t>
      </w:r>
      <w:r w:rsidRPr="00627719">
        <w:t xml:space="preserve"> </w:t>
      </w:r>
      <w:r w:rsidRPr="00627719">
        <w:rPr>
          <w:i/>
        </w:rPr>
        <w:t>Varnava and Others v. Turkey</w:t>
      </w:r>
      <w:r w:rsidR="005200EF" w:rsidRPr="00627719">
        <w:t>, cited</w:t>
      </w:r>
      <w:r w:rsidR="00437834" w:rsidRPr="00627719">
        <w:rPr>
          <w:color w:val="000000"/>
        </w:rPr>
        <w:t xml:space="preserve"> </w:t>
      </w:r>
      <w:r w:rsidR="0075125C" w:rsidRPr="00627719">
        <w:rPr>
          <w:color w:val="000000"/>
        </w:rPr>
        <w:t xml:space="preserve">in </w:t>
      </w:r>
      <w:r w:rsidR="00C319C9" w:rsidRPr="00627719">
        <w:t xml:space="preserve">§ </w:t>
      </w:r>
      <w:fldSimple w:instr=" REF _Ref350156751 \r \h  \* MERGEFORMAT ">
        <w:r w:rsidR="0062115B">
          <w:t>34</w:t>
        </w:r>
      </w:fldSimple>
      <w:r w:rsidR="00C319C9" w:rsidRPr="00627719">
        <w:t>,</w:t>
      </w:r>
      <w:r w:rsidR="00437834" w:rsidRPr="00627719">
        <w:rPr>
          <w:color w:val="000000"/>
        </w:rPr>
        <w:t xml:space="preserve"> at </w:t>
      </w:r>
      <w:r w:rsidRPr="00627719">
        <w:t xml:space="preserve">§ 145). While the location and the subsequent identification of the mortal remains of the victim may in themselves be significant achievements, the procedural obligation under Article 2 continues to exist (see ECtHR, </w:t>
      </w:r>
      <w:r w:rsidRPr="00627719">
        <w:rPr>
          <w:i/>
        </w:rPr>
        <w:t>Palić v. Bosnia and Herzegovina</w:t>
      </w:r>
      <w:r w:rsidRPr="00627719">
        <w:t>, cited above, at § 64).</w:t>
      </w:r>
      <w:bookmarkEnd w:id="23"/>
    </w:p>
    <w:p w:rsidR="00EE4D62" w:rsidRPr="00627719" w:rsidRDefault="00EE4D62" w:rsidP="00EC64DD">
      <w:pPr>
        <w:tabs>
          <w:tab w:val="left" w:pos="360"/>
        </w:tabs>
        <w:suppressAutoHyphens/>
        <w:autoSpaceDE w:val="0"/>
        <w:ind w:left="360" w:hanging="360"/>
        <w:jc w:val="both"/>
        <w:rPr>
          <w:lang w:val="en-GB"/>
        </w:rPr>
      </w:pPr>
    </w:p>
    <w:p w:rsidR="00831AA2" w:rsidRPr="00627719" w:rsidRDefault="00831AA2" w:rsidP="00EC64DD">
      <w:pPr>
        <w:numPr>
          <w:ilvl w:val="0"/>
          <w:numId w:val="5"/>
        </w:numPr>
        <w:tabs>
          <w:tab w:val="left" w:pos="360"/>
        </w:tabs>
        <w:suppressAutoHyphens/>
        <w:autoSpaceDE w:val="0"/>
        <w:ind w:left="360"/>
        <w:jc w:val="both"/>
        <w:rPr>
          <w:lang w:val="en-GB"/>
        </w:rPr>
      </w:pPr>
      <w:bookmarkStart w:id="24" w:name="_Ref347937166"/>
      <w:r w:rsidRPr="00627719">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r w:rsidR="0075125C" w:rsidRPr="00627719">
        <w:t xml:space="preserve">ECtHR, </w:t>
      </w:r>
      <w:r w:rsidRPr="00627719">
        <w:rPr>
          <w:i/>
        </w:rPr>
        <w:t>Ahmet Özkan and Others</w:t>
      </w:r>
      <w:r w:rsidRPr="00627719">
        <w:t xml:space="preserve">, cited </w:t>
      </w:r>
      <w:r w:rsidR="0075125C" w:rsidRPr="00627719">
        <w:t xml:space="preserve">in § </w:t>
      </w:r>
      <w:fldSimple w:instr=" REF _Ref346723791 \r \h  \* MERGEFORMAT ">
        <w:r w:rsidR="0062115B">
          <w:t>54</w:t>
        </w:r>
      </w:fldSimple>
      <w:r w:rsidR="0075125C" w:rsidRPr="00627719">
        <w:t xml:space="preserve"> </w:t>
      </w:r>
      <w:r w:rsidRPr="00627719">
        <w:t xml:space="preserve">above, </w:t>
      </w:r>
      <w:r w:rsidR="0075125C" w:rsidRPr="00627719">
        <w:t xml:space="preserve">at </w:t>
      </w:r>
      <w:r w:rsidRPr="00627719">
        <w:t>§§ 311</w:t>
      </w:r>
      <w:r w:rsidRPr="00627719">
        <w:noBreakHyphen/>
        <w:t>314;</w:t>
      </w:r>
      <w:r w:rsidR="0075125C" w:rsidRPr="00627719">
        <w:t xml:space="preserve"> ECtHR,</w:t>
      </w:r>
      <w:r w:rsidRPr="00627719">
        <w:t xml:space="preserve"> </w:t>
      </w:r>
      <w:r w:rsidRPr="00627719">
        <w:rPr>
          <w:i/>
        </w:rPr>
        <w:t>Isayeva v. Russia</w:t>
      </w:r>
      <w:r w:rsidRPr="00627719">
        <w:t xml:space="preserve">, </w:t>
      </w:r>
      <w:r w:rsidR="005200EF" w:rsidRPr="00627719">
        <w:t>cited</w:t>
      </w:r>
      <w:r w:rsidR="00437834" w:rsidRPr="00627719">
        <w:t xml:space="preserve"> </w:t>
      </w:r>
      <w:r w:rsidR="00C96864" w:rsidRPr="00627719">
        <w:t xml:space="preserve">in </w:t>
      </w:r>
      <w:r w:rsidR="00437834" w:rsidRPr="00627719">
        <w:t xml:space="preserve">§ </w:t>
      </w:r>
      <w:fldSimple w:instr=" REF _Ref346723791 \r \h  \* MERGEFORMAT ">
        <w:r w:rsidR="0062115B">
          <w:t>54</w:t>
        </w:r>
      </w:fldSimple>
      <w:r w:rsidR="00437834" w:rsidRPr="00627719">
        <w:t xml:space="preserve"> </w:t>
      </w:r>
      <w:r w:rsidRPr="00627719">
        <w:t xml:space="preserve">above, </w:t>
      </w:r>
      <w:r w:rsidR="00437834" w:rsidRPr="00627719">
        <w:t xml:space="preserve">at </w:t>
      </w:r>
      <w:r w:rsidRPr="00627719">
        <w:t>§§ 211-214 and the cases cited therein</w:t>
      </w:r>
      <w:r w:rsidR="0075125C" w:rsidRPr="00627719">
        <w:t>;</w:t>
      </w:r>
      <w:r w:rsidRPr="00627719">
        <w:t xml:space="preserve"> ECtHR</w:t>
      </w:r>
      <w:r w:rsidR="00451A85" w:rsidRPr="00627719">
        <w:t xml:space="preserve"> </w:t>
      </w:r>
      <w:r w:rsidR="0075125C" w:rsidRPr="00627719">
        <w:t>[</w:t>
      </w:r>
      <w:r w:rsidR="00451A85" w:rsidRPr="00627719">
        <w:t>GC</w:t>
      </w:r>
      <w:r w:rsidR="0075125C" w:rsidRPr="00627719">
        <w:t>]</w:t>
      </w:r>
      <w:r w:rsidR="00451A85" w:rsidRPr="00627719">
        <w:t>,</w:t>
      </w:r>
      <w:r w:rsidRPr="00627719">
        <w:t xml:space="preserve"> </w:t>
      </w:r>
      <w:r w:rsidRPr="00627719">
        <w:rPr>
          <w:i/>
        </w:rPr>
        <w:t xml:space="preserve">Al-Skeini and Others v. </w:t>
      </w:r>
      <w:r w:rsidR="00AD46F6" w:rsidRPr="00627719">
        <w:rPr>
          <w:i/>
        </w:rPr>
        <w:t xml:space="preserve">the </w:t>
      </w:r>
      <w:r w:rsidRPr="00627719">
        <w:rPr>
          <w:i/>
        </w:rPr>
        <w:t>United Kingdom</w:t>
      </w:r>
      <w:r w:rsidRPr="00627719">
        <w:t>, judgment of 7 July 2011, no. 55721/07, § 167</w:t>
      </w:r>
      <w:r w:rsidR="0075125C" w:rsidRPr="00627719">
        <w:t>, ECHR 2011</w:t>
      </w:r>
      <w:r w:rsidR="004C3ABE" w:rsidRPr="00627719">
        <w:t>)</w:t>
      </w:r>
      <w:r w:rsidRPr="00627719">
        <w:t>.</w:t>
      </w:r>
      <w:bookmarkEnd w:id="24"/>
    </w:p>
    <w:p w:rsidR="008E75E1" w:rsidRPr="00627719" w:rsidRDefault="008E75E1" w:rsidP="00EC64DD">
      <w:pPr>
        <w:tabs>
          <w:tab w:val="left" w:pos="360"/>
        </w:tabs>
        <w:suppressAutoHyphens/>
        <w:ind w:left="360" w:hanging="360"/>
        <w:jc w:val="both"/>
        <w:rPr>
          <w:b/>
          <w:i/>
          <w:lang w:val="en-GB"/>
        </w:rPr>
      </w:pPr>
    </w:p>
    <w:p w:rsidR="00005EDC" w:rsidRPr="00627719" w:rsidRDefault="00005EDC" w:rsidP="00EC64DD">
      <w:pPr>
        <w:pStyle w:val="ListParagraph"/>
        <w:numPr>
          <w:ilvl w:val="0"/>
          <w:numId w:val="35"/>
        </w:numPr>
        <w:tabs>
          <w:tab w:val="left" w:pos="360"/>
        </w:tabs>
        <w:suppressAutoHyphens w:val="0"/>
        <w:ind w:left="360"/>
        <w:contextualSpacing/>
        <w:jc w:val="both"/>
        <w:rPr>
          <w:i/>
          <w:color w:val="000000"/>
          <w:lang w:eastAsia="en-US"/>
        </w:rPr>
      </w:pPr>
      <w:r w:rsidRPr="00627719">
        <w:rPr>
          <w:i/>
          <w:color w:val="000000"/>
          <w:lang w:eastAsia="en-US"/>
        </w:rPr>
        <w:t>Applicability of Article 2 to the Kosovo context</w:t>
      </w:r>
    </w:p>
    <w:p w:rsidR="00005EDC" w:rsidRPr="00627719" w:rsidRDefault="00005EDC" w:rsidP="00EC64DD">
      <w:pPr>
        <w:tabs>
          <w:tab w:val="left" w:pos="360"/>
        </w:tabs>
        <w:suppressAutoHyphens/>
        <w:ind w:left="360" w:hanging="360"/>
        <w:jc w:val="both"/>
        <w:rPr>
          <w:b/>
          <w:i/>
          <w:lang w:val="en-GB"/>
        </w:rPr>
      </w:pPr>
    </w:p>
    <w:p w:rsidR="00005EDC" w:rsidRPr="00627719" w:rsidRDefault="00005EDC" w:rsidP="00EC64DD">
      <w:pPr>
        <w:numPr>
          <w:ilvl w:val="0"/>
          <w:numId w:val="5"/>
        </w:numPr>
        <w:tabs>
          <w:tab w:val="left" w:pos="360"/>
        </w:tabs>
        <w:autoSpaceDE w:val="0"/>
        <w:ind w:left="360"/>
        <w:contextualSpacing/>
        <w:jc w:val="both"/>
        <w:rPr>
          <w:color w:val="000000"/>
        </w:rPr>
      </w:pPr>
      <w:r w:rsidRPr="00627719">
        <w:rPr>
          <w:color w:val="000000"/>
        </w:rPr>
        <w:t xml:space="preserve">The Panel </w:t>
      </w:r>
      <w:r w:rsidR="00BC7A5C" w:rsidRPr="00627719">
        <w:rPr>
          <w:color w:val="000000"/>
        </w:rPr>
        <w:t>observes</w:t>
      </w:r>
      <w:r w:rsidRPr="00627719">
        <w:rPr>
          <w:color w:val="000000"/>
        </w:rPr>
        <w:t xml:space="preserve"> that the </w:t>
      </w:r>
      <w:r w:rsidR="00D50CF5" w:rsidRPr="00627719">
        <w:t xml:space="preserve">killing of Zoran Vukićević </w:t>
      </w:r>
      <w:r w:rsidRPr="00627719">
        <w:t xml:space="preserve">occurred </w:t>
      </w:r>
      <w:r w:rsidR="000704D7" w:rsidRPr="00627719">
        <w:t>six months</w:t>
      </w:r>
      <w:r w:rsidRPr="00627719">
        <w:t xml:space="preserve"> after UNMIK</w:t>
      </w:r>
      <w:r w:rsidR="000704D7" w:rsidRPr="00627719">
        <w:t xml:space="preserve"> arrived</w:t>
      </w:r>
      <w:r w:rsidRPr="00627719">
        <w:t xml:space="preserve"> in Kosovo in the aftermath of the armed conflict, when crime, vio</w:t>
      </w:r>
      <w:r w:rsidR="00D50CF5" w:rsidRPr="00627719">
        <w:t>lence and insecurity were</w:t>
      </w:r>
      <w:r w:rsidR="000704D7" w:rsidRPr="00627719">
        <w:t xml:space="preserve"> still</w:t>
      </w:r>
      <w:r w:rsidR="00D50CF5" w:rsidRPr="00627719">
        <w:t xml:space="preserve"> rife.</w:t>
      </w:r>
    </w:p>
    <w:p w:rsidR="00005EDC" w:rsidRPr="00627719" w:rsidRDefault="00005EDC" w:rsidP="00EC64DD">
      <w:pPr>
        <w:pStyle w:val="ListParagraph"/>
        <w:tabs>
          <w:tab w:val="left" w:pos="360"/>
        </w:tabs>
        <w:ind w:left="360" w:hanging="360"/>
        <w:jc w:val="both"/>
        <w:rPr>
          <w:color w:val="000000"/>
          <w:lang w:eastAsia="en-US"/>
        </w:rPr>
      </w:pPr>
    </w:p>
    <w:p w:rsidR="00003EE4" w:rsidRPr="00627719" w:rsidRDefault="00003EE4" w:rsidP="00EC64DD">
      <w:pPr>
        <w:pStyle w:val="ListParagraph"/>
        <w:numPr>
          <w:ilvl w:val="0"/>
          <w:numId w:val="5"/>
        </w:numPr>
        <w:tabs>
          <w:tab w:val="left" w:pos="360"/>
        </w:tabs>
        <w:suppressAutoHyphens w:val="0"/>
        <w:ind w:left="360"/>
        <w:contextualSpacing/>
        <w:jc w:val="both"/>
        <w:rPr>
          <w:color w:val="000000"/>
          <w:lang w:eastAsia="en-US"/>
        </w:rPr>
      </w:pPr>
      <w:r w:rsidRPr="00627719">
        <w:t>On his part, the SRSG does not contest that UNMIK had a duty to investigate the present case under Article 2</w:t>
      </w:r>
      <w:r w:rsidR="006671A9" w:rsidRPr="00627719">
        <w:t xml:space="preserve"> of the ECHR</w:t>
      </w:r>
      <w:r w:rsidRPr="00627719">
        <w:t xml:space="preserve">.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005EDC" w:rsidRPr="00627719" w:rsidRDefault="00005EDC" w:rsidP="00EC64DD">
      <w:pPr>
        <w:pStyle w:val="ListParagraph"/>
        <w:tabs>
          <w:tab w:val="left" w:pos="360"/>
        </w:tabs>
        <w:ind w:left="360" w:hanging="360"/>
        <w:rPr>
          <w:color w:val="000000"/>
          <w:lang w:eastAsia="en-US"/>
        </w:rPr>
      </w:pPr>
    </w:p>
    <w:p w:rsidR="00003EE4" w:rsidRPr="00627719" w:rsidRDefault="00003EE4" w:rsidP="00EC64DD">
      <w:pPr>
        <w:pStyle w:val="ListParagraph"/>
        <w:numPr>
          <w:ilvl w:val="0"/>
          <w:numId w:val="5"/>
        </w:numPr>
        <w:tabs>
          <w:tab w:val="left" w:pos="360"/>
        </w:tabs>
        <w:suppressAutoHyphens w:val="0"/>
        <w:ind w:left="360"/>
        <w:contextualSpacing/>
        <w:jc w:val="both"/>
        <w:rPr>
          <w:color w:val="000000"/>
          <w:lang w:eastAsia="en-US"/>
        </w:rPr>
      </w:pPr>
      <w:r w:rsidRPr="00627719">
        <w:rPr>
          <w:color w:val="000000"/>
          <w:lang w:eastAsia="en-US"/>
        </w:rPr>
        <w:t xml:space="preserve">The Panel </w:t>
      </w:r>
      <w:r w:rsidRPr="00627719">
        <w:t>considers</w:t>
      </w:r>
      <w:r w:rsidRPr="00627719">
        <w:rPr>
          <w:color w:val="000000"/>
          <w:lang w:eastAsia="en-US"/>
        </w:rPr>
        <w:t xml:space="preserve"> that the SRSG’s arguments raise two main questions: first, whether the standards of Article 2 continue to apply in situation of conflict or generalised violence and, secondly, whether such standards shall be considered fully applicable to UNMIK, in particular during the first phase of its mission.</w:t>
      </w:r>
    </w:p>
    <w:p w:rsidR="00003EE4" w:rsidRPr="00627719" w:rsidRDefault="00003EE4" w:rsidP="00EC64DD">
      <w:pPr>
        <w:pStyle w:val="ListParagraph"/>
        <w:tabs>
          <w:tab w:val="left" w:pos="360"/>
        </w:tabs>
        <w:ind w:left="360" w:hanging="360"/>
        <w:rPr>
          <w:color w:val="000000"/>
          <w:lang w:eastAsia="en-US"/>
        </w:rPr>
      </w:pPr>
    </w:p>
    <w:p w:rsidR="00003EE4" w:rsidRPr="00627719" w:rsidRDefault="00003EE4" w:rsidP="00EC64DD">
      <w:pPr>
        <w:pStyle w:val="ListParagraph"/>
        <w:numPr>
          <w:ilvl w:val="0"/>
          <w:numId w:val="5"/>
        </w:numPr>
        <w:tabs>
          <w:tab w:val="left" w:pos="360"/>
        </w:tabs>
        <w:suppressAutoHyphens w:val="0"/>
        <w:ind w:left="360"/>
        <w:contextualSpacing/>
        <w:jc w:val="both"/>
        <w:rPr>
          <w:color w:val="000000"/>
          <w:lang w:eastAsia="en-US"/>
        </w:rPr>
      </w:pPr>
      <w:r w:rsidRPr="00627719">
        <w:rPr>
          <w:color w:val="000000"/>
          <w:lang w:eastAsia="en-US"/>
        </w:rPr>
        <w:t xml:space="preserve">As regards the applicability of Article 2 to UNMIK, the Panel recalls </w:t>
      </w:r>
      <w:r w:rsidRPr="00627719">
        <w:rPr>
          <w:color w:val="000000"/>
          <w:lang w:eastAsia="nl-BE"/>
        </w:rPr>
        <w:t xml:space="preserve">that with the adoption of the UNMIK Regulation No. 1999/1 on 25 July 1999 UNMIK undertook an obligation to observe internationally recognised human rights standards in exercising its </w:t>
      </w:r>
      <w:r w:rsidRPr="00627719">
        <w:t>functions</w:t>
      </w:r>
      <w:r w:rsidRPr="00627719">
        <w:rPr>
          <w:color w:val="000000"/>
          <w:lang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627719">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627719">
        <w:rPr>
          <w:i/>
        </w:rPr>
        <w:t>Milogorić</w:t>
      </w:r>
      <w:r w:rsidRPr="00627719">
        <w:t xml:space="preserve"> </w:t>
      </w:r>
      <w:r w:rsidRPr="00627719">
        <w:rPr>
          <w:i/>
        </w:rPr>
        <w:t>and Others,</w:t>
      </w:r>
      <w:r w:rsidR="009A1A66" w:rsidRPr="00627719">
        <w:t xml:space="preserve"> nos. 38/08 and others</w:t>
      </w:r>
      <w:r w:rsidRPr="00627719">
        <w:t xml:space="preserve">, opinion of 24 March 2011, § 44; </w:t>
      </w:r>
      <w:r w:rsidRPr="00627719">
        <w:rPr>
          <w:i/>
        </w:rPr>
        <w:t>Berisha and Others,</w:t>
      </w:r>
      <w:r w:rsidRPr="00627719">
        <w:t xml:space="preserve"> nos. 27/08 and others, opinion of 23 February 2011,</w:t>
      </w:r>
      <w:r w:rsidRPr="00627719">
        <w:rPr>
          <w:i/>
        </w:rPr>
        <w:t xml:space="preserve"> </w:t>
      </w:r>
      <w:r w:rsidRPr="00627719">
        <w:t xml:space="preserve">§ 25; </w:t>
      </w:r>
      <w:r w:rsidRPr="00627719">
        <w:rPr>
          <w:i/>
        </w:rPr>
        <w:t>Lalić and Others</w:t>
      </w:r>
      <w:r w:rsidRPr="00627719">
        <w:t>, nos. 09/08 and others, opinion of 9 June 2012, § 22).</w:t>
      </w:r>
    </w:p>
    <w:p w:rsidR="007C502D" w:rsidRPr="00627719" w:rsidRDefault="007C502D" w:rsidP="007C502D">
      <w:pPr>
        <w:pStyle w:val="ListParagraph"/>
        <w:tabs>
          <w:tab w:val="left" w:pos="360"/>
        </w:tabs>
        <w:suppressAutoHyphens w:val="0"/>
        <w:ind w:left="360"/>
        <w:contextualSpacing/>
        <w:jc w:val="both"/>
        <w:rPr>
          <w:color w:val="000000"/>
          <w:lang w:eastAsia="en-US"/>
        </w:rPr>
      </w:pPr>
    </w:p>
    <w:p w:rsidR="00005EDC" w:rsidRPr="00627719" w:rsidRDefault="00005EDC" w:rsidP="00EC64DD">
      <w:pPr>
        <w:pStyle w:val="ListParagraph"/>
        <w:numPr>
          <w:ilvl w:val="0"/>
          <w:numId w:val="5"/>
        </w:numPr>
        <w:tabs>
          <w:tab w:val="left" w:pos="360"/>
        </w:tabs>
        <w:suppressAutoHyphens w:val="0"/>
        <w:ind w:left="360"/>
        <w:contextualSpacing/>
        <w:jc w:val="both"/>
        <w:rPr>
          <w:color w:val="000000"/>
          <w:lang w:eastAsia="en-US"/>
        </w:rPr>
      </w:pPr>
      <w:r w:rsidRPr="00627719">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w:t>
      </w:r>
      <w:r w:rsidRPr="00627719">
        <w:rPr>
          <w:color w:val="000000"/>
          <w:lang w:val="en-GB" w:eastAsia="en-US"/>
        </w:rPr>
        <w:t>Yugoslavia</w:t>
      </w:r>
      <w:r w:rsidRPr="00627719">
        <w:t xml:space="preserve"> (see, among other examples, ECtHR, </w:t>
      </w:r>
      <w:r w:rsidRPr="00627719">
        <w:rPr>
          <w:i/>
        </w:rPr>
        <w:t>Palić v. Bosnia and Herzegovina,</w:t>
      </w:r>
      <w:r w:rsidRPr="00627719">
        <w:t xml:space="preserve"> </w:t>
      </w:r>
      <w:r w:rsidR="00437834" w:rsidRPr="00627719">
        <w:t xml:space="preserve">cited in § </w:t>
      </w:r>
      <w:fldSimple w:instr=" REF _Ref346724174 \r \h  \* MERGEFORMAT ">
        <w:r w:rsidR="0062115B">
          <w:t>55</w:t>
        </w:r>
      </w:fldSimple>
      <w:r w:rsidR="00437834" w:rsidRPr="00627719">
        <w:t xml:space="preserve"> above</w:t>
      </w:r>
      <w:r w:rsidRPr="00627719">
        <w:t xml:space="preserve">, and ECtHR, </w:t>
      </w:r>
      <w:r w:rsidRPr="00627719">
        <w:rPr>
          <w:i/>
        </w:rPr>
        <w:t>Jularić v. Croatia</w:t>
      </w:r>
      <w:r w:rsidRPr="00627719">
        <w:t xml:space="preserve">, no. 20106/06, judgment of 20 January 2011). The Court has further held that that the procedural obligation under Article 2 continues to apply in “difficult security conditions, including in a context of armed conflict” (see </w:t>
      </w:r>
      <w:r w:rsidRPr="00627719">
        <w:rPr>
          <w:lang w:eastAsia="en-US"/>
        </w:rPr>
        <w:t xml:space="preserve">ECtHR </w:t>
      </w:r>
      <w:r w:rsidR="00FF43CB" w:rsidRPr="00627719">
        <w:rPr>
          <w:lang w:eastAsia="en-US"/>
        </w:rPr>
        <w:t>[GC]</w:t>
      </w:r>
      <w:r w:rsidRPr="00627719">
        <w:rPr>
          <w:lang w:eastAsia="en-US"/>
        </w:rPr>
        <w:t xml:space="preserve">, </w:t>
      </w:r>
      <w:r w:rsidRPr="00627719">
        <w:rPr>
          <w:i/>
          <w:lang w:eastAsia="en-US"/>
        </w:rPr>
        <w:t xml:space="preserve">Al-Skeini and Others v. </w:t>
      </w:r>
      <w:r w:rsidR="00AD46F6" w:rsidRPr="00627719">
        <w:rPr>
          <w:i/>
          <w:lang w:eastAsia="en-US"/>
        </w:rPr>
        <w:t xml:space="preserve">the </w:t>
      </w:r>
      <w:r w:rsidRPr="00627719">
        <w:rPr>
          <w:i/>
          <w:lang w:eastAsia="en-US"/>
        </w:rPr>
        <w:t>United Kingdom</w:t>
      </w:r>
      <w:r w:rsidRPr="00627719">
        <w:rPr>
          <w:lang w:eastAsia="en-US"/>
        </w:rPr>
        <w:t xml:space="preserve">, cited </w:t>
      </w:r>
      <w:r w:rsidR="0075125C" w:rsidRPr="00627719">
        <w:rPr>
          <w:lang w:eastAsia="en-US"/>
        </w:rPr>
        <w:t xml:space="preserve">in § </w:t>
      </w:r>
      <w:fldSimple w:instr=" REF _Ref347937166 \r \h  \* MERGEFORMAT ">
        <w:r w:rsidR="0062115B">
          <w:rPr>
            <w:lang w:eastAsia="en-US"/>
          </w:rPr>
          <w:t>58</w:t>
        </w:r>
      </w:fldSimple>
      <w:r w:rsidR="0075125C" w:rsidRPr="00627719">
        <w:rPr>
          <w:lang w:eastAsia="en-US"/>
        </w:rPr>
        <w:t xml:space="preserve"> </w:t>
      </w:r>
      <w:r w:rsidRPr="00627719">
        <w:rPr>
          <w:lang w:eastAsia="en-US"/>
        </w:rPr>
        <w:t>above</w:t>
      </w:r>
      <w:r w:rsidR="009A1A66" w:rsidRPr="00627719">
        <w:rPr>
          <w:lang w:eastAsia="en-US"/>
        </w:rPr>
        <w:t>, at</w:t>
      </w:r>
      <w:r w:rsidRPr="00627719">
        <w:rPr>
          <w:lang w:eastAsia="en-US"/>
        </w:rPr>
        <w:t xml:space="preserve"> § 164; see also ECtHR, </w:t>
      </w:r>
      <w:r w:rsidRPr="00627719">
        <w:rPr>
          <w:i/>
          <w:lang w:eastAsia="en-US"/>
        </w:rPr>
        <w:t>Güleç v. Turkey</w:t>
      </w:r>
      <w:r w:rsidRPr="00627719">
        <w:rPr>
          <w:lang w:eastAsia="en-US"/>
        </w:rPr>
        <w:t>, judgment of 27 July 1998, § 81,</w:t>
      </w:r>
      <w:r w:rsidRPr="00627719">
        <w:t xml:space="preserve"> </w:t>
      </w:r>
      <w:r w:rsidR="0075125C" w:rsidRPr="00627719">
        <w:t xml:space="preserve">Reports </w:t>
      </w:r>
      <w:r w:rsidRPr="00627719">
        <w:rPr>
          <w:lang w:eastAsia="en-US"/>
        </w:rPr>
        <w:t>1998</w:t>
      </w:r>
      <w:r w:rsidR="0075125C" w:rsidRPr="00627719">
        <w:rPr>
          <w:lang w:eastAsia="en-US"/>
        </w:rPr>
        <w:t>-</w:t>
      </w:r>
      <w:r w:rsidRPr="00627719">
        <w:rPr>
          <w:lang w:eastAsia="en-US"/>
        </w:rPr>
        <w:t>IV; ECtHR,</w:t>
      </w:r>
      <w:r w:rsidRPr="00627719">
        <w:rPr>
          <w:i/>
          <w:lang w:eastAsia="en-US"/>
        </w:rPr>
        <w:t xml:space="preserve"> Ergi v. Turkey</w:t>
      </w:r>
      <w:r w:rsidRPr="00627719">
        <w:rPr>
          <w:lang w:eastAsia="en-US"/>
        </w:rPr>
        <w:t>, judgment of 28 July 1998, §§ 79 and 82</w:t>
      </w:r>
      <w:r w:rsidR="00674233" w:rsidRPr="00627719">
        <w:rPr>
          <w:lang w:eastAsia="en-US"/>
        </w:rPr>
        <w:t>,</w:t>
      </w:r>
      <w:r w:rsidRPr="00627719">
        <w:rPr>
          <w:lang w:eastAsia="en-US"/>
        </w:rPr>
        <w:t xml:space="preserve"> </w:t>
      </w:r>
      <w:r w:rsidR="0075125C" w:rsidRPr="00627719">
        <w:rPr>
          <w:lang w:eastAsia="en-US"/>
        </w:rPr>
        <w:t>Reports 1</w:t>
      </w:r>
      <w:r w:rsidRPr="00627719">
        <w:rPr>
          <w:lang w:eastAsia="en-US"/>
        </w:rPr>
        <w:t>998</w:t>
      </w:r>
      <w:r w:rsidR="0075125C" w:rsidRPr="00627719">
        <w:rPr>
          <w:lang w:eastAsia="en-US"/>
        </w:rPr>
        <w:t>-</w:t>
      </w:r>
      <w:r w:rsidRPr="00627719">
        <w:rPr>
          <w:lang w:eastAsia="en-US"/>
        </w:rPr>
        <w:t>IV; ECtHR,</w:t>
      </w:r>
      <w:r w:rsidRPr="00627719">
        <w:rPr>
          <w:i/>
          <w:lang w:eastAsia="en-US"/>
        </w:rPr>
        <w:t xml:space="preserve"> Ahmet Özkan and Others v. Turkey</w:t>
      </w:r>
      <w:r w:rsidRPr="00627719">
        <w:rPr>
          <w:lang w:eastAsia="en-US"/>
        </w:rPr>
        <w:t xml:space="preserve">, </w:t>
      </w:r>
      <w:r w:rsidR="00FF43CB" w:rsidRPr="00627719">
        <w:t xml:space="preserve">cited in § </w:t>
      </w:r>
      <w:fldSimple w:instr=" REF _Ref346723791 \r \h  \* MERGEFORMAT ">
        <w:r w:rsidR="0062115B">
          <w:t>54</w:t>
        </w:r>
      </w:fldSimple>
      <w:r w:rsidR="00FF43CB" w:rsidRPr="00627719">
        <w:t xml:space="preserve"> above, at </w:t>
      </w:r>
      <w:r w:rsidRPr="00627719">
        <w:rPr>
          <w:lang w:eastAsia="en-US"/>
        </w:rPr>
        <w:t>§§ 85-90</w:t>
      </w:r>
      <w:r w:rsidR="0075125C" w:rsidRPr="00627719">
        <w:rPr>
          <w:lang w:eastAsia="en-US"/>
        </w:rPr>
        <w:t>,</w:t>
      </w:r>
      <w:r w:rsidRPr="00627719">
        <w:rPr>
          <w:lang w:eastAsia="en-US"/>
        </w:rPr>
        <w:t xml:space="preserve"> 309-320</w:t>
      </w:r>
      <w:r w:rsidR="0075125C" w:rsidRPr="00627719">
        <w:rPr>
          <w:lang w:eastAsia="en-US"/>
        </w:rPr>
        <w:t xml:space="preserve"> a</w:t>
      </w:r>
      <w:r w:rsidRPr="00627719">
        <w:rPr>
          <w:lang w:eastAsia="en-US"/>
        </w:rPr>
        <w:t>nd 326-330;</w:t>
      </w:r>
      <w:r w:rsidRPr="00627719">
        <w:rPr>
          <w:i/>
          <w:lang w:eastAsia="en-US"/>
        </w:rPr>
        <w:t xml:space="preserve"> Isayeva v. Russia</w:t>
      </w:r>
      <w:r w:rsidRPr="00627719">
        <w:rPr>
          <w:lang w:eastAsia="en-US"/>
        </w:rPr>
        <w:t xml:space="preserve">, </w:t>
      </w:r>
      <w:r w:rsidR="005200EF" w:rsidRPr="00627719">
        <w:rPr>
          <w:lang w:eastAsia="en-US"/>
        </w:rPr>
        <w:t>cited</w:t>
      </w:r>
      <w:r w:rsidR="001D7C7D" w:rsidRPr="00627719">
        <w:rPr>
          <w:lang w:eastAsia="en-US"/>
        </w:rPr>
        <w:t xml:space="preserve"> in</w:t>
      </w:r>
      <w:r w:rsidR="00437834" w:rsidRPr="00627719">
        <w:t xml:space="preserve"> § </w:t>
      </w:r>
      <w:fldSimple w:instr=" REF _Ref346723791 \r \h  \* MERGEFORMAT ">
        <w:r w:rsidR="0062115B">
          <w:t>54</w:t>
        </w:r>
      </w:fldSimple>
      <w:r w:rsidR="00437834" w:rsidRPr="00627719">
        <w:t xml:space="preserve"> above, at </w:t>
      </w:r>
      <w:r w:rsidRPr="00627719">
        <w:rPr>
          <w:lang w:eastAsia="en-US"/>
        </w:rPr>
        <w:t xml:space="preserve">§§ 180 and 210; ECtHR, </w:t>
      </w:r>
      <w:r w:rsidRPr="00627719">
        <w:rPr>
          <w:i/>
          <w:lang w:eastAsia="en-US"/>
        </w:rPr>
        <w:t>Kanlibaş v. Turkey</w:t>
      </w:r>
      <w:r w:rsidRPr="00627719">
        <w:rPr>
          <w:lang w:eastAsia="en-US"/>
        </w:rPr>
        <w:t>, no. 32444/96, judgment of 8 December 2005, §§ 39-51)</w:t>
      </w:r>
      <w:r w:rsidRPr="00627719">
        <w:t xml:space="preserve">. </w:t>
      </w:r>
    </w:p>
    <w:p w:rsidR="00005EDC" w:rsidRPr="00627719" w:rsidRDefault="00005EDC" w:rsidP="00EC64DD">
      <w:pPr>
        <w:pStyle w:val="ListParagraph"/>
        <w:tabs>
          <w:tab w:val="left" w:pos="360"/>
        </w:tabs>
        <w:ind w:left="360" w:hanging="360"/>
      </w:pPr>
    </w:p>
    <w:p w:rsidR="00005EDC" w:rsidRPr="00627719" w:rsidRDefault="00005EDC" w:rsidP="00EC64DD">
      <w:pPr>
        <w:pStyle w:val="ListParagraph"/>
        <w:numPr>
          <w:ilvl w:val="0"/>
          <w:numId w:val="5"/>
        </w:numPr>
        <w:tabs>
          <w:tab w:val="left" w:pos="360"/>
        </w:tabs>
        <w:suppressAutoHyphens w:val="0"/>
        <w:ind w:left="360"/>
        <w:contextualSpacing/>
        <w:jc w:val="both"/>
        <w:rPr>
          <w:color w:val="000000"/>
          <w:lang w:eastAsia="en-US"/>
        </w:rPr>
      </w:pPr>
      <w:r w:rsidRPr="00627719">
        <w:t xml:space="preserve">The Court has acknowledged that “where the death [and disappearances] to be investigated under Article 2 occur in circumstances of generalised violence, armed conflict or insurgency, obstacles may be placed in the way of investigators and concrete constraints may compel the </w:t>
      </w:r>
      <w:r w:rsidRPr="00627719">
        <w:rPr>
          <w:lang w:eastAsia="en-US"/>
        </w:rPr>
        <w:t xml:space="preserve">use of </w:t>
      </w:r>
      <w:r w:rsidRPr="00627719">
        <w:t xml:space="preserve">less effective measures of investigation or may cause an investigation to be delayed” (see, </w:t>
      </w:r>
      <w:r w:rsidRPr="00627719">
        <w:rPr>
          <w:lang w:eastAsia="en-US"/>
        </w:rPr>
        <w:t>ECtHR</w:t>
      </w:r>
      <w:r w:rsidR="00FF43CB" w:rsidRPr="00627719">
        <w:rPr>
          <w:lang w:eastAsia="en-US"/>
        </w:rPr>
        <w:t xml:space="preserve"> [GC]</w:t>
      </w:r>
      <w:r w:rsidRPr="00627719">
        <w:rPr>
          <w:lang w:eastAsia="en-US"/>
        </w:rPr>
        <w:t xml:space="preserve">, </w:t>
      </w:r>
      <w:r w:rsidRPr="00627719">
        <w:rPr>
          <w:i/>
          <w:lang w:eastAsia="en-US"/>
        </w:rPr>
        <w:t xml:space="preserve">Al-Skeini and Others v. the United Kingdom, </w:t>
      </w:r>
      <w:r w:rsidRPr="00627719">
        <w:rPr>
          <w:lang w:eastAsia="en-US"/>
        </w:rPr>
        <w:t>cited</w:t>
      </w:r>
      <w:r w:rsidR="00FF43CB" w:rsidRPr="00627719">
        <w:rPr>
          <w:lang w:eastAsia="en-US"/>
        </w:rPr>
        <w:t xml:space="preserve"> above, at</w:t>
      </w:r>
      <w:r w:rsidRPr="00627719">
        <w:rPr>
          <w:lang w:eastAsia="en-US"/>
        </w:rPr>
        <w:t xml:space="preserve"> §164;</w:t>
      </w:r>
      <w:r w:rsidRPr="00627719">
        <w:rPr>
          <w:i/>
          <w:lang w:eastAsia="en-US"/>
        </w:rPr>
        <w:t xml:space="preserve"> </w:t>
      </w:r>
      <w:r w:rsidRPr="00627719">
        <w:rPr>
          <w:lang w:eastAsia="en-US"/>
        </w:rPr>
        <w:t>ECtHR,</w:t>
      </w:r>
      <w:r w:rsidRPr="00627719">
        <w:rPr>
          <w:i/>
          <w:lang w:eastAsia="en-US"/>
        </w:rPr>
        <w:t xml:space="preserve"> Bazorkina v. Russia</w:t>
      </w:r>
      <w:r w:rsidRPr="00627719">
        <w:rPr>
          <w:lang w:eastAsia="en-US"/>
        </w:rPr>
        <w:t>, no. 69481/01, judgment of 27 July 2006, § 121)</w:t>
      </w:r>
      <w:r w:rsidRPr="00627719">
        <w:t xml:space="preserve">.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w:t>
      </w:r>
      <w:r w:rsidR="00FF43CB" w:rsidRPr="00627719">
        <w:t xml:space="preserve">ECtHR, </w:t>
      </w:r>
      <w:r w:rsidRPr="00627719">
        <w:rPr>
          <w:i/>
          <w:lang w:eastAsia="en-US"/>
        </w:rPr>
        <w:t>Kaya v. Turkey</w:t>
      </w:r>
      <w:r w:rsidRPr="00627719">
        <w:rPr>
          <w:lang w:eastAsia="en-US"/>
        </w:rPr>
        <w:t xml:space="preserve">, cited </w:t>
      </w:r>
      <w:r w:rsidR="005A7910" w:rsidRPr="00627719">
        <w:rPr>
          <w:lang w:eastAsia="en-US"/>
        </w:rPr>
        <w:t xml:space="preserve">in </w:t>
      </w:r>
      <w:r w:rsidRPr="00627719">
        <w:rPr>
          <w:lang w:eastAsia="en-US"/>
        </w:rPr>
        <w:t xml:space="preserve">§ </w:t>
      </w:r>
      <w:fldSimple w:instr=" REF _Ref347561805 \r \h  \* MERGEFORMAT ">
        <w:r w:rsidR="0062115B">
          <w:rPr>
            <w:lang w:eastAsia="en-US"/>
          </w:rPr>
          <w:t>52</w:t>
        </w:r>
      </w:fldSimple>
      <w:r w:rsidR="00FF43CB" w:rsidRPr="00627719">
        <w:rPr>
          <w:lang w:eastAsia="en-US"/>
        </w:rPr>
        <w:t xml:space="preserve"> </w:t>
      </w:r>
      <w:r w:rsidRPr="00627719">
        <w:rPr>
          <w:lang w:eastAsia="en-US"/>
        </w:rPr>
        <w:t xml:space="preserve">above, </w:t>
      </w:r>
      <w:r w:rsidR="00FF43CB" w:rsidRPr="00627719">
        <w:rPr>
          <w:lang w:eastAsia="en-US"/>
        </w:rPr>
        <w:t xml:space="preserve">at </w:t>
      </w:r>
      <w:r w:rsidRPr="00627719">
        <w:rPr>
          <w:lang w:eastAsia="en-US"/>
        </w:rPr>
        <w:t>§§ 86</w:t>
      </w:r>
      <w:r w:rsidRPr="00627719">
        <w:rPr>
          <w:lang w:eastAsia="en-US"/>
        </w:rPr>
        <w:noBreakHyphen/>
        <w:t xml:space="preserve">92; </w:t>
      </w:r>
      <w:r w:rsidR="00FF43CB" w:rsidRPr="00627719">
        <w:rPr>
          <w:lang w:eastAsia="en-US"/>
        </w:rPr>
        <w:t xml:space="preserve">ECtHR, </w:t>
      </w:r>
      <w:r w:rsidRPr="00627719">
        <w:rPr>
          <w:i/>
          <w:lang w:eastAsia="en-US"/>
        </w:rPr>
        <w:t xml:space="preserve">Ergi, </w:t>
      </w:r>
      <w:r w:rsidRPr="00627719">
        <w:rPr>
          <w:lang w:eastAsia="en-US"/>
        </w:rPr>
        <w:t xml:space="preserve">cited </w:t>
      </w:r>
      <w:r w:rsidR="00FF43CB" w:rsidRPr="00627719">
        <w:rPr>
          <w:lang w:eastAsia="en-US"/>
        </w:rPr>
        <w:t>abov</w:t>
      </w:r>
      <w:r w:rsidRPr="00627719">
        <w:rPr>
          <w:lang w:eastAsia="en-US"/>
        </w:rPr>
        <w:t xml:space="preserve">e, </w:t>
      </w:r>
      <w:r w:rsidR="00FF43CB" w:rsidRPr="00627719">
        <w:rPr>
          <w:lang w:eastAsia="en-US"/>
        </w:rPr>
        <w:t xml:space="preserve">at </w:t>
      </w:r>
      <w:r w:rsidRPr="00627719">
        <w:rPr>
          <w:lang w:eastAsia="en-US"/>
        </w:rPr>
        <w:t xml:space="preserve">§§ 82-85; </w:t>
      </w:r>
      <w:r w:rsidR="00FF43CB" w:rsidRPr="00627719">
        <w:rPr>
          <w:lang w:eastAsia="en-US"/>
        </w:rPr>
        <w:t xml:space="preserve">ECtHR [GC], </w:t>
      </w:r>
      <w:r w:rsidRPr="00627719">
        <w:rPr>
          <w:i/>
          <w:lang w:eastAsia="en-US"/>
        </w:rPr>
        <w:t>Tanrıkulu v. Turkey</w:t>
      </w:r>
      <w:r w:rsidRPr="00627719">
        <w:rPr>
          <w:lang w:eastAsia="en-US"/>
        </w:rPr>
        <w:t>, no. 23763/94, judgment of 8 July 1999, §§ 101-110</w:t>
      </w:r>
      <w:r w:rsidR="00FF43CB" w:rsidRPr="00627719">
        <w:rPr>
          <w:lang w:eastAsia="en-US"/>
        </w:rPr>
        <w:t>, ECHR 1999-IV</w:t>
      </w:r>
      <w:r w:rsidRPr="00627719">
        <w:rPr>
          <w:lang w:eastAsia="en-US"/>
        </w:rPr>
        <w:t xml:space="preserve">; </w:t>
      </w:r>
      <w:r w:rsidR="00FF43CB" w:rsidRPr="00627719">
        <w:rPr>
          <w:lang w:eastAsia="en-US"/>
        </w:rPr>
        <w:t xml:space="preserve">ECtHR, </w:t>
      </w:r>
      <w:r w:rsidRPr="00627719">
        <w:rPr>
          <w:i/>
          <w:lang w:eastAsia="en-US"/>
        </w:rPr>
        <w:t>Khashiyev and Akayeva v. Russia</w:t>
      </w:r>
      <w:r w:rsidRPr="00627719">
        <w:rPr>
          <w:lang w:eastAsia="en-US"/>
        </w:rPr>
        <w:t xml:space="preserve">, nos. 57942/00 and 57945/00, judgment of 24 February 2005, §§ 156-166; </w:t>
      </w:r>
      <w:r w:rsidR="00FF43CB" w:rsidRPr="00627719">
        <w:rPr>
          <w:lang w:eastAsia="en-US"/>
        </w:rPr>
        <w:t xml:space="preserve">ECtHR, </w:t>
      </w:r>
      <w:r w:rsidRPr="00627719">
        <w:rPr>
          <w:i/>
          <w:lang w:eastAsia="en-US"/>
        </w:rPr>
        <w:t>Isayeva</w:t>
      </w:r>
      <w:r w:rsidR="00FF43CB" w:rsidRPr="00627719">
        <w:rPr>
          <w:i/>
          <w:lang w:eastAsia="en-US"/>
        </w:rPr>
        <w:t xml:space="preserve"> v. Russia</w:t>
      </w:r>
      <w:r w:rsidRPr="00627719">
        <w:rPr>
          <w:lang w:eastAsia="en-US"/>
        </w:rPr>
        <w:t xml:space="preserve">, </w:t>
      </w:r>
      <w:r w:rsidR="005200EF" w:rsidRPr="00627719">
        <w:t xml:space="preserve">cited </w:t>
      </w:r>
      <w:r w:rsidR="00C81172" w:rsidRPr="00627719">
        <w:rPr>
          <w:color w:val="000000"/>
        </w:rPr>
        <w:t xml:space="preserve">in § </w:t>
      </w:r>
      <w:fldSimple w:instr=" REF _Ref346723791 \r \h  \* MERGEFORMAT ">
        <w:r w:rsidR="0062115B" w:rsidRPr="0062115B">
          <w:rPr>
            <w:color w:val="000000"/>
          </w:rPr>
          <w:t>54</w:t>
        </w:r>
      </w:fldSimple>
      <w:r w:rsidR="00C81172" w:rsidRPr="00627719">
        <w:rPr>
          <w:color w:val="000000"/>
        </w:rPr>
        <w:t xml:space="preserve"> </w:t>
      </w:r>
      <w:r w:rsidR="00437834" w:rsidRPr="00627719">
        <w:t xml:space="preserve">above, at </w:t>
      </w:r>
      <w:r w:rsidRPr="00627719">
        <w:rPr>
          <w:lang w:eastAsia="en-US"/>
        </w:rPr>
        <w:t>§§ 215</w:t>
      </w:r>
      <w:r w:rsidRPr="00627719">
        <w:rPr>
          <w:lang w:eastAsia="en-US"/>
        </w:rPr>
        <w:noBreakHyphen/>
        <w:t xml:space="preserve">224; </w:t>
      </w:r>
      <w:r w:rsidR="00FF43CB" w:rsidRPr="00627719">
        <w:rPr>
          <w:lang w:eastAsia="en-US"/>
        </w:rPr>
        <w:t xml:space="preserve">ECtHR, </w:t>
      </w:r>
      <w:r w:rsidRPr="00627719">
        <w:rPr>
          <w:i/>
          <w:lang w:eastAsia="en-US"/>
        </w:rPr>
        <w:t>Musayev and Others v. Russia</w:t>
      </w:r>
      <w:r w:rsidRPr="00627719">
        <w:rPr>
          <w:lang w:eastAsia="en-US"/>
        </w:rPr>
        <w:t>, nos. 57941/00</w:t>
      </w:r>
      <w:r w:rsidR="00FF43CB" w:rsidRPr="00627719">
        <w:rPr>
          <w:lang w:eastAsia="en-US"/>
        </w:rPr>
        <w:t xml:space="preserve"> and others</w:t>
      </w:r>
      <w:r w:rsidRPr="00627719">
        <w:rPr>
          <w:lang w:eastAsia="en-US"/>
        </w:rPr>
        <w:t xml:space="preserve">, judgment of 26 July 2007, §§ 158-165). </w:t>
      </w:r>
    </w:p>
    <w:p w:rsidR="00005EDC" w:rsidRPr="00627719" w:rsidRDefault="00005EDC" w:rsidP="00EC64DD">
      <w:pPr>
        <w:pStyle w:val="ListParagraph"/>
        <w:tabs>
          <w:tab w:val="left" w:pos="360"/>
        </w:tabs>
        <w:ind w:left="360" w:hanging="360"/>
        <w:jc w:val="both"/>
        <w:rPr>
          <w:color w:val="000000"/>
          <w:lang w:eastAsia="en-US"/>
        </w:rPr>
      </w:pPr>
    </w:p>
    <w:p w:rsidR="00005EDC" w:rsidRPr="00627719" w:rsidRDefault="00005EDC" w:rsidP="00EC64DD">
      <w:pPr>
        <w:pStyle w:val="ListParagraph"/>
        <w:numPr>
          <w:ilvl w:val="0"/>
          <w:numId w:val="5"/>
        </w:numPr>
        <w:tabs>
          <w:tab w:val="left" w:pos="360"/>
        </w:tabs>
        <w:suppressAutoHyphens w:val="0"/>
        <w:ind w:left="360"/>
        <w:contextualSpacing/>
        <w:jc w:val="both"/>
        <w:rPr>
          <w:i/>
          <w:color w:val="000000"/>
          <w:lang w:eastAsia="en-US"/>
        </w:rPr>
      </w:pPr>
      <w:r w:rsidRPr="00627719">
        <w:rPr>
          <w:color w:val="000000"/>
          <w:lang w:eastAsia="en-US"/>
        </w:rPr>
        <w:t xml:space="preserve">Similarly, the HRC has held that the right to life, including its procedural guarantees, shall be considered as the supreme right from which no derogation is </w:t>
      </w:r>
      <w:r w:rsidRPr="00627719">
        <w:t>permitted</w:t>
      </w:r>
      <w:r w:rsidRPr="00627719">
        <w:rPr>
          <w:color w:val="000000"/>
          <w:lang w:eastAsia="en-US"/>
        </w:rPr>
        <w:t xml:space="preserve"> even in time of public emergency which threatens the life of the nation (see, HRC, General Comment No. 6, cited </w:t>
      </w:r>
      <w:r w:rsidR="00C81172" w:rsidRPr="00627719">
        <w:rPr>
          <w:color w:val="000000"/>
          <w:lang w:eastAsia="en-US"/>
        </w:rPr>
        <w:t xml:space="preserve">in § </w:t>
      </w:r>
      <w:fldSimple w:instr=" REF _Ref348512105 \r \h  \* MERGEFORMAT ">
        <w:r w:rsidR="0062115B" w:rsidRPr="0062115B">
          <w:rPr>
            <w:color w:val="000000"/>
            <w:lang w:eastAsia="en-US"/>
          </w:rPr>
          <w:t>51</w:t>
        </w:r>
      </w:fldSimple>
      <w:r w:rsidR="00C81172" w:rsidRPr="00627719">
        <w:rPr>
          <w:color w:val="000000"/>
          <w:lang w:eastAsia="en-US"/>
        </w:rPr>
        <w:t xml:space="preserve"> </w:t>
      </w:r>
      <w:r w:rsidRPr="00627719">
        <w:rPr>
          <w:color w:val="000000"/>
          <w:lang w:eastAsia="en-US"/>
        </w:rPr>
        <w:t xml:space="preserve">above, </w:t>
      </w:r>
      <w:r w:rsidR="00C81172" w:rsidRPr="00627719">
        <w:rPr>
          <w:color w:val="000000"/>
          <w:lang w:eastAsia="en-US"/>
        </w:rPr>
        <w:t xml:space="preserve">at </w:t>
      </w:r>
      <w:r w:rsidRPr="00627719">
        <w:rPr>
          <w:color w:val="000000"/>
          <w:lang w:eastAsia="en-US"/>
        </w:rPr>
        <w:t xml:space="preserve">§ 1; HRC, </w:t>
      </w:r>
      <w:r w:rsidRPr="00627719">
        <w:rPr>
          <w:i/>
          <w:color w:val="000000"/>
          <w:lang w:eastAsia="en-US"/>
        </w:rPr>
        <w:t>Abubakar Amirov and Aïzan Amirova v. Russi</w:t>
      </w:r>
      <w:r w:rsidRPr="00627719">
        <w:t>a</w:t>
      </w:r>
      <w:r w:rsidRPr="00627719">
        <w:rPr>
          <w:i/>
          <w:color w:val="000000"/>
          <w:lang w:eastAsia="en-US"/>
        </w:rPr>
        <w:t>n Federation</w:t>
      </w:r>
      <w:r w:rsidRPr="00627719">
        <w:rPr>
          <w:color w:val="000000"/>
          <w:lang w:eastAsia="en-US"/>
        </w:rPr>
        <w:t xml:space="preserve">, </w:t>
      </w:r>
      <w:r w:rsidR="0017646A" w:rsidRPr="00627719">
        <w:rPr>
          <w:color w:val="000000"/>
          <w:lang w:eastAsia="en-US"/>
        </w:rPr>
        <w:t xml:space="preserve">communication no. 1447/2006, views of </w:t>
      </w:r>
      <w:r w:rsidRPr="00627719">
        <w:rPr>
          <w:color w:val="000000"/>
          <w:lang w:eastAsia="en-US"/>
        </w:rPr>
        <w:t>22 April 2009, § 11.2</w:t>
      </w:r>
      <w:r w:rsidR="00012218" w:rsidRPr="00627719">
        <w:rPr>
          <w:color w:val="000000"/>
          <w:lang w:eastAsia="en-US"/>
        </w:rPr>
        <w:t xml:space="preserve">, </w:t>
      </w:r>
      <w:r w:rsidR="0052586F" w:rsidRPr="00627719">
        <w:rPr>
          <w:bCs/>
          <w:lang w:eastAsia="en-US"/>
        </w:rPr>
        <w:t>CCPR/C/95/D/1447/2006</w:t>
      </w:r>
      <w:r w:rsidRPr="00627719">
        <w:rPr>
          <w:lang w:eastAsia="en-US"/>
        </w:rPr>
        <w:t>).</w:t>
      </w:r>
      <w:r w:rsidRPr="00627719">
        <w:rPr>
          <w:color w:val="000000"/>
          <w:lang w:eastAsia="en-US"/>
        </w:rPr>
        <w:t xml:space="preserve">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w:t>
      </w:r>
      <w:r w:rsidRPr="00627719">
        <w:rPr>
          <w:lang w:eastAsia="en-US"/>
        </w:rPr>
        <w:t>§§ 12-13</w:t>
      </w:r>
      <w:r w:rsidR="00E3163C" w:rsidRPr="00627719">
        <w:rPr>
          <w:lang w:eastAsia="en-US"/>
        </w:rPr>
        <w:t>, CCPR/C/UNK/CO/1</w:t>
      </w:r>
      <w:r w:rsidRPr="00627719">
        <w:rPr>
          <w:lang w:eastAsia="en-US"/>
        </w:rPr>
        <w:t>).</w:t>
      </w:r>
    </w:p>
    <w:p w:rsidR="00005EDC" w:rsidRPr="00627719" w:rsidRDefault="00005EDC" w:rsidP="00EC64DD">
      <w:pPr>
        <w:tabs>
          <w:tab w:val="left" w:pos="360"/>
        </w:tabs>
        <w:ind w:left="360" w:hanging="360"/>
      </w:pPr>
    </w:p>
    <w:p w:rsidR="00D93FE8" w:rsidRPr="00627719" w:rsidRDefault="00005EDC" w:rsidP="00EC64DD">
      <w:pPr>
        <w:pStyle w:val="ListParagraph"/>
        <w:numPr>
          <w:ilvl w:val="0"/>
          <w:numId w:val="5"/>
        </w:numPr>
        <w:tabs>
          <w:tab w:val="left" w:pos="360"/>
        </w:tabs>
        <w:suppressAutoHyphens w:val="0"/>
        <w:ind w:left="360"/>
        <w:contextualSpacing/>
        <w:jc w:val="both"/>
      </w:pPr>
      <w:bookmarkStart w:id="25" w:name="_Ref343611663"/>
      <w:r w:rsidRPr="00627719">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w:t>
      </w:r>
      <w:r w:rsidRPr="00627719">
        <w:rPr>
          <w:color w:val="000000"/>
        </w:rPr>
        <w:t xml:space="preserve">officers or units of UNMIK Police. Such </w:t>
      </w:r>
      <w:r w:rsidR="00041AD7" w:rsidRPr="00627719">
        <w:rPr>
          <w:color w:val="000000"/>
        </w:rPr>
        <w:t xml:space="preserve">a </w:t>
      </w:r>
      <w:r w:rsidRPr="00627719">
        <w:rPr>
          <w:color w:val="000000"/>
        </w:rPr>
        <w:t>system should also take account of the protection needs of victims and witnesses</w:t>
      </w:r>
      <w:r w:rsidR="00704732" w:rsidRPr="00627719">
        <w:rPr>
          <w:color w:val="000000"/>
        </w:rPr>
        <w:t xml:space="preserve"> (see, </w:t>
      </w:r>
      <w:r w:rsidR="00704732" w:rsidRPr="00627719">
        <w:rPr>
          <w:i/>
          <w:color w:val="000000"/>
        </w:rPr>
        <w:t>mutatis mutandis</w:t>
      </w:r>
      <w:r w:rsidR="00704732" w:rsidRPr="00627719">
        <w:rPr>
          <w:color w:val="000000"/>
        </w:rPr>
        <w:t xml:space="preserve">, ECtHR, </w:t>
      </w:r>
      <w:r w:rsidR="00704732" w:rsidRPr="00627719">
        <w:rPr>
          <w:i/>
          <w:color w:val="000000"/>
        </w:rPr>
        <w:t>R.R. and Others v. Hungary</w:t>
      </w:r>
      <w:r w:rsidR="00704732" w:rsidRPr="00627719">
        <w:rPr>
          <w:color w:val="000000"/>
        </w:rPr>
        <w:t>, no. 19400/11, judgment of 4 December 2012, §§ 28-32)</w:t>
      </w:r>
      <w:r w:rsidR="00D93FE8" w:rsidRPr="00627719">
        <w:rPr>
          <w:color w:val="000000"/>
        </w:rPr>
        <w:t xml:space="preserve">, as well as </w:t>
      </w:r>
      <w:r w:rsidR="003A5E2D" w:rsidRPr="00627719">
        <w:rPr>
          <w:color w:val="000000"/>
        </w:rPr>
        <w:t xml:space="preserve">to </w:t>
      </w:r>
      <w:r w:rsidR="00D93FE8" w:rsidRPr="00627719">
        <w:rPr>
          <w:color w:val="000000"/>
        </w:rPr>
        <w:t>consider</w:t>
      </w:r>
      <w:r w:rsidR="003A5E2D" w:rsidRPr="00627719">
        <w:rPr>
          <w:color w:val="000000"/>
        </w:rPr>
        <w:t xml:space="preserve"> </w:t>
      </w:r>
      <w:r w:rsidR="00D93FE8" w:rsidRPr="00627719">
        <w:rPr>
          <w:color w:val="000000"/>
        </w:rPr>
        <w:t>the special v</w:t>
      </w:r>
      <w:r w:rsidR="00F03599" w:rsidRPr="00627719">
        <w:rPr>
          <w:color w:val="000000"/>
          <w:lang w:val="en-GB"/>
        </w:rPr>
        <w:t>ulnerability</w:t>
      </w:r>
      <w:r w:rsidR="00D93FE8" w:rsidRPr="00627719">
        <w:rPr>
          <w:color w:val="000000"/>
          <w:lang w:val="en-GB"/>
        </w:rPr>
        <w:t xml:space="preserve"> of </w:t>
      </w:r>
      <w:r w:rsidR="0022364D" w:rsidRPr="00627719">
        <w:rPr>
          <w:color w:val="000000"/>
          <w:lang w:val="en-GB"/>
        </w:rPr>
        <w:t>displaced persons</w:t>
      </w:r>
      <w:r w:rsidR="00D93FE8" w:rsidRPr="00627719">
        <w:rPr>
          <w:color w:val="000000"/>
        </w:rPr>
        <w:t xml:space="preserve"> in post-conflict situations </w:t>
      </w:r>
      <w:r w:rsidR="00704732" w:rsidRPr="00627719">
        <w:rPr>
          <w:color w:val="000000"/>
        </w:rPr>
        <w:t>(see</w:t>
      </w:r>
      <w:r w:rsidR="00D93FE8" w:rsidRPr="00627719">
        <w:rPr>
          <w:color w:val="000000"/>
        </w:rPr>
        <w:t xml:space="preserve"> </w:t>
      </w:r>
      <w:r w:rsidR="000709F0" w:rsidRPr="00627719">
        <w:rPr>
          <w:color w:val="000000"/>
        </w:rPr>
        <w:t xml:space="preserve">ECtHR </w:t>
      </w:r>
      <w:r w:rsidR="00FF43CB" w:rsidRPr="00627719">
        <w:rPr>
          <w:color w:val="000000"/>
        </w:rPr>
        <w:t>[GC]</w:t>
      </w:r>
      <w:r w:rsidR="000709F0" w:rsidRPr="00627719">
        <w:rPr>
          <w:color w:val="000000"/>
        </w:rPr>
        <w:t xml:space="preserve">, </w:t>
      </w:r>
      <w:r w:rsidR="00D93FE8" w:rsidRPr="00627719">
        <w:rPr>
          <w:i/>
          <w:color w:val="000000"/>
        </w:rPr>
        <w:t xml:space="preserve">Sargsyan v. Azerbaijan, </w:t>
      </w:r>
      <w:r w:rsidR="005E362B" w:rsidRPr="00627719">
        <w:rPr>
          <w:color w:val="000000"/>
        </w:rPr>
        <w:t>no. 40167/06, decision</w:t>
      </w:r>
      <w:r w:rsidR="005200EF" w:rsidRPr="00627719">
        <w:rPr>
          <w:color w:val="000000"/>
        </w:rPr>
        <w:t xml:space="preserve"> of 14 December 2011, § 145</w:t>
      </w:r>
      <w:r w:rsidR="000709F0" w:rsidRPr="00627719">
        <w:rPr>
          <w:color w:val="000000"/>
        </w:rPr>
        <w:t>; and</w:t>
      </w:r>
      <w:r w:rsidR="005E362B" w:rsidRPr="00627719">
        <w:rPr>
          <w:color w:val="000000"/>
        </w:rPr>
        <w:t xml:space="preserve"> </w:t>
      </w:r>
      <w:r w:rsidR="00FF43CB" w:rsidRPr="00627719">
        <w:rPr>
          <w:color w:val="000000"/>
        </w:rPr>
        <w:t>ECtHR [GC]</w:t>
      </w:r>
      <w:r w:rsidR="000709F0" w:rsidRPr="00627719">
        <w:rPr>
          <w:color w:val="000000"/>
        </w:rPr>
        <w:t xml:space="preserve">, </w:t>
      </w:r>
      <w:r w:rsidR="000709F0" w:rsidRPr="00627719">
        <w:rPr>
          <w:i/>
          <w:color w:val="000000"/>
        </w:rPr>
        <w:t xml:space="preserve">Chiragov and </w:t>
      </w:r>
      <w:r w:rsidR="003A5E2D" w:rsidRPr="00627719">
        <w:rPr>
          <w:i/>
          <w:color w:val="000000"/>
        </w:rPr>
        <w:t>O</w:t>
      </w:r>
      <w:r w:rsidR="000709F0" w:rsidRPr="00627719">
        <w:rPr>
          <w:i/>
          <w:color w:val="000000"/>
        </w:rPr>
        <w:t>thers</w:t>
      </w:r>
      <w:r w:rsidR="003A5E2D" w:rsidRPr="00627719">
        <w:rPr>
          <w:i/>
          <w:color w:val="000000"/>
        </w:rPr>
        <w:t xml:space="preserve"> </w:t>
      </w:r>
      <w:r w:rsidR="000709F0" w:rsidRPr="00627719">
        <w:rPr>
          <w:i/>
          <w:color w:val="000000"/>
        </w:rPr>
        <w:t>v. Armenia</w:t>
      </w:r>
      <w:r w:rsidR="000709F0" w:rsidRPr="00627719">
        <w:rPr>
          <w:color w:val="000000"/>
        </w:rPr>
        <w:t>, no. 13216/05, decision of 14 December 2011, § 146</w:t>
      </w:r>
      <w:r w:rsidRPr="00627719">
        <w:rPr>
          <w:color w:val="000000"/>
        </w:rPr>
        <w:t>). While understanding that the deployment and the organisation of the police and justice apparatus occurred</w:t>
      </w:r>
      <w:r w:rsidRPr="00627719">
        <w:t xml:space="preserve"> gradually, the Panel deems that this process was completed in 2003 when the police and justice system in Kosovo was described as being “well-functioning” and “sustainable” by the UN Secretary-General (see </w:t>
      </w:r>
      <w:r w:rsidRPr="00627719">
        <w:rPr>
          <w:lang w:eastAsia="en-US"/>
        </w:rPr>
        <w:t xml:space="preserve">§ </w:t>
      </w:r>
      <w:fldSimple w:instr=" REF _Ref346123767 \r \h  \* MERGEFORMAT ">
        <w:r w:rsidR="0062115B">
          <w:rPr>
            <w:lang w:eastAsia="en-US"/>
          </w:rPr>
          <w:t>16</w:t>
        </w:r>
      </w:fldSimple>
      <w:r w:rsidR="00A82979" w:rsidRPr="00627719">
        <w:rPr>
          <w:lang w:eastAsia="en-US"/>
        </w:rPr>
        <w:t xml:space="preserve"> </w:t>
      </w:r>
      <w:r w:rsidRPr="00627719">
        <w:t>above).</w:t>
      </w:r>
      <w:bookmarkEnd w:id="25"/>
    </w:p>
    <w:p w:rsidR="00005EDC" w:rsidRPr="00627719" w:rsidRDefault="00005EDC" w:rsidP="00EC64DD">
      <w:pPr>
        <w:pStyle w:val="ListParagraph"/>
        <w:tabs>
          <w:tab w:val="left" w:pos="360"/>
        </w:tabs>
        <w:ind w:left="360" w:hanging="360"/>
        <w:rPr>
          <w:lang w:val="en-GB"/>
        </w:rPr>
      </w:pPr>
    </w:p>
    <w:p w:rsidR="00005EDC" w:rsidRPr="00627719" w:rsidRDefault="00005EDC" w:rsidP="00EC64DD">
      <w:pPr>
        <w:numPr>
          <w:ilvl w:val="0"/>
          <w:numId w:val="5"/>
        </w:numPr>
        <w:tabs>
          <w:tab w:val="left" w:pos="360"/>
        </w:tabs>
        <w:suppressAutoHyphens/>
        <w:autoSpaceDE w:val="0"/>
        <w:ind w:left="360"/>
        <w:jc w:val="both"/>
        <w:rPr>
          <w:rStyle w:val="sb8d990e2"/>
        </w:rPr>
      </w:pPr>
      <w:r w:rsidRPr="00627719">
        <w:rPr>
          <w:rStyle w:val="sb8d990e2"/>
        </w:rPr>
        <w:t xml:space="preserve">The Panel further notes that its task is not to review relevant practices or alleged obstacles to the conduct of effective investigations </w:t>
      </w:r>
      <w:r w:rsidRPr="00627719">
        <w:rPr>
          <w:rStyle w:val="s6b621b36"/>
          <w:i/>
        </w:rPr>
        <w:t xml:space="preserve">in </w:t>
      </w:r>
      <w:r w:rsidRPr="00627719">
        <w:rPr>
          <w:rStyle w:val="wordhighlighted"/>
          <w:i/>
        </w:rPr>
        <w:t>abstracto</w:t>
      </w:r>
      <w:r w:rsidRPr="00627719">
        <w:rPr>
          <w:rStyle w:val="sb8d990e2"/>
        </w:rPr>
        <w:t xml:space="preserve">, but only in relation to their specific application to the particular circumstances of a situation subject of a complaint before </w:t>
      </w:r>
      <w:r w:rsidRPr="00627719">
        <w:rPr>
          <w:rStyle w:val="sb8d990e2"/>
          <w:color w:val="000000"/>
        </w:rPr>
        <w:t>it (see</w:t>
      </w:r>
      <w:r w:rsidR="003A5E2D" w:rsidRPr="00627719">
        <w:rPr>
          <w:rStyle w:val="sb8d990e2"/>
          <w:color w:val="000000"/>
        </w:rPr>
        <w:t>,</w:t>
      </w:r>
      <w:r w:rsidRPr="00627719">
        <w:rPr>
          <w:rStyle w:val="sb8d990e2"/>
          <w:color w:val="000000"/>
        </w:rPr>
        <w:t xml:space="preserve"> EC</w:t>
      </w:r>
      <w:r w:rsidR="003A5E2D" w:rsidRPr="00627719">
        <w:rPr>
          <w:rStyle w:val="sb8d990e2"/>
          <w:color w:val="000000"/>
        </w:rPr>
        <w:t>t</w:t>
      </w:r>
      <w:r w:rsidRPr="00627719">
        <w:rPr>
          <w:rStyle w:val="sb8d990e2"/>
          <w:color w:val="000000"/>
        </w:rPr>
        <w:t xml:space="preserve">HR, </w:t>
      </w:r>
      <w:r w:rsidRPr="00627719">
        <w:rPr>
          <w:rStyle w:val="s6b621b36"/>
          <w:i/>
          <w:color w:val="000000"/>
        </w:rPr>
        <w:t>Brogan</w:t>
      </w:r>
      <w:r w:rsidRPr="00627719">
        <w:rPr>
          <w:rStyle w:val="s6b621b36"/>
          <w:i/>
        </w:rPr>
        <w:t xml:space="preserve"> and Others v. the United </w:t>
      </w:r>
      <w:r w:rsidRPr="00627719">
        <w:rPr>
          <w:rStyle w:val="s6b621b36"/>
          <w:i/>
          <w:color w:val="000000"/>
        </w:rPr>
        <w:t>Kingdom</w:t>
      </w:r>
      <w:r w:rsidRPr="00627719">
        <w:rPr>
          <w:rStyle w:val="sb8d990e2"/>
          <w:color w:val="000000"/>
        </w:rPr>
        <w:t xml:space="preserve">, </w:t>
      </w:r>
      <w:r w:rsidRPr="00627719">
        <w:rPr>
          <w:rStyle w:val="column01"/>
          <w:color w:val="000000"/>
        </w:rPr>
        <w:t>judgment of</w:t>
      </w:r>
      <w:r w:rsidRPr="00627719">
        <w:rPr>
          <w:rStyle w:val="sb8d990e2"/>
          <w:color w:val="000000"/>
        </w:rPr>
        <w:t xml:space="preserve"> 29</w:t>
      </w:r>
      <w:r w:rsidRPr="00627719">
        <w:rPr>
          <w:rStyle w:val="sb8d990e2"/>
        </w:rPr>
        <w:t xml:space="preserve"> November 1988,</w:t>
      </w:r>
      <w:r w:rsidRPr="00627719">
        <w:t xml:space="preserve"> </w:t>
      </w:r>
      <w:r w:rsidRPr="00627719">
        <w:rPr>
          <w:rStyle w:val="sb8d990e2"/>
        </w:rPr>
        <w:t>§ 53, Series A no. 145</w:t>
      </w:r>
      <w:r w:rsidR="000F013A" w:rsidRPr="00627719">
        <w:rPr>
          <w:rStyle w:val="sb8d990e2"/>
        </w:rPr>
        <w:t>-</w:t>
      </w:r>
      <w:r w:rsidRPr="00627719">
        <w:rPr>
          <w:rStyle w:val="sb8d990e2"/>
        </w:rPr>
        <w:t xml:space="preserve">B). </w:t>
      </w:r>
      <w:r w:rsidRPr="00627719">
        <w:t xml:space="preserve">The Panel thus agrees with the SRSG that the nature and degree of scrutiny to determine whether the effectiveness of the investigation satisfies the minimum threshold depends on the circumstances of the particular case. </w:t>
      </w:r>
      <w:r w:rsidRPr="00627719">
        <w:rPr>
          <w:rStyle w:val="sb8d990e2"/>
        </w:rPr>
        <w:t>For these reasons, the Panel considers that it will establish with regard to each case if all reasonable steps were taken to conduct an effective investigation as prescribed by Article 2,</w:t>
      </w:r>
      <w:r w:rsidRPr="00627719">
        <w:t xml:space="preserve"> </w:t>
      </w:r>
      <w:r w:rsidRPr="00627719">
        <w:rPr>
          <w:rStyle w:val="sb8d990e2"/>
        </w:rPr>
        <w:t>having regard to the realities of the investigative work in Kosovo</w:t>
      </w:r>
      <w:r w:rsidR="00F456B4" w:rsidRPr="00627719">
        <w:rPr>
          <w:rStyle w:val="sb8d990e2"/>
        </w:rPr>
        <w:t>.</w:t>
      </w:r>
    </w:p>
    <w:p w:rsidR="00005EDC" w:rsidRPr="00627719" w:rsidRDefault="00005EDC" w:rsidP="00EC64DD">
      <w:pPr>
        <w:tabs>
          <w:tab w:val="left" w:pos="360"/>
        </w:tabs>
        <w:suppressAutoHyphens/>
        <w:ind w:left="360" w:hanging="360"/>
        <w:jc w:val="both"/>
        <w:rPr>
          <w:b/>
          <w:i/>
          <w:lang w:val="en-GB"/>
        </w:rPr>
      </w:pPr>
    </w:p>
    <w:p w:rsidR="007C502D" w:rsidRPr="00627719" w:rsidRDefault="004F19FC" w:rsidP="00EC64DD">
      <w:pPr>
        <w:pStyle w:val="ListParagraph"/>
        <w:numPr>
          <w:ilvl w:val="0"/>
          <w:numId w:val="35"/>
        </w:numPr>
        <w:tabs>
          <w:tab w:val="left" w:pos="360"/>
        </w:tabs>
        <w:ind w:left="360"/>
        <w:contextualSpacing/>
        <w:jc w:val="both"/>
        <w:rPr>
          <w:i/>
          <w:lang w:val="en-GB"/>
        </w:rPr>
      </w:pPr>
      <w:r w:rsidRPr="00627719">
        <w:rPr>
          <w:i/>
          <w:color w:val="000000"/>
          <w:lang w:eastAsia="en-US"/>
        </w:rPr>
        <w:t>Compliance</w:t>
      </w:r>
      <w:r w:rsidRPr="00627719">
        <w:rPr>
          <w:bCs/>
          <w:i/>
          <w:lang w:val="en-GB"/>
        </w:rPr>
        <w:t xml:space="preserve"> with the requirements of Article 2 in the present case</w:t>
      </w:r>
    </w:p>
    <w:p w:rsidR="006C32AC" w:rsidRPr="00627719" w:rsidRDefault="006C32AC" w:rsidP="006C32AC">
      <w:pPr>
        <w:pStyle w:val="ListParagraph"/>
        <w:tabs>
          <w:tab w:val="left" w:pos="360"/>
        </w:tabs>
        <w:ind w:left="360"/>
        <w:contextualSpacing/>
        <w:jc w:val="both"/>
        <w:rPr>
          <w:b/>
          <w:i/>
          <w:lang w:val="en-GB"/>
        </w:rPr>
      </w:pPr>
    </w:p>
    <w:p w:rsidR="0022364D" w:rsidRPr="00627719" w:rsidRDefault="004F19FC" w:rsidP="00EC64DD">
      <w:pPr>
        <w:numPr>
          <w:ilvl w:val="0"/>
          <w:numId w:val="5"/>
        </w:numPr>
        <w:tabs>
          <w:tab w:val="left" w:pos="360"/>
        </w:tabs>
        <w:suppressAutoHyphens/>
        <w:autoSpaceDE w:val="0"/>
        <w:ind w:left="360"/>
        <w:jc w:val="both"/>
        <w:rPr>
          <w:bCs/>
          <w:lang w:val="en-GB"/>
        </w:rPr>
      </w:pPr>
      <w:r w:rsidRPr="00627719">
        <w:rPr>
          <w:bCs/>
          <w:lang w:val="en-GB"/>
        </w:rPr>
        <w:t xml:space="preserve">Turning to the circumstances of the present case, the Panel </w:t>
      </w:r>
      <w:r w:rsidRPr="00627719">
        <w:rPr>
          <w:lang w:val="en-GB"/>
        </w:rPr>
        <w:t xml:space="preserve">first </w:t>
      </w:r>
      <w:r w:rsidRPr="00627719">
        <w:t>a</w:t>
      </w:r>
      <w:r w:rsidR="003261AD" w:rsidRPr="00627719">
        <w:t>ddress</w:t>
      </w:r>
      <w:r w:rsidR="00454AA4" w:rsidRPr="00627719">
        <w:t>es</w:t>
      </w:r>
      <w:r w:rsidR="003261AD" w:rsidRPr="00627719">
        <w:rPr>
          <w:lang w:val="en-GB"/>
        </w:rPr>
        <w:t xml:space="preserve"> the issue </w:t>
      </w:r>
      <w:r w:rsidRPr="00627719">
        <w:rPr>
          <w:lang w:val="en-GB"/>
        </w:rPr>
        <w:t xml:space="preserve">of </w:t>
      </w:r>
      <w:r w:rsidR="00454AA4" w:rsidRPr="00627719">
        <w:rPr>
          <w:lang w:val="en-GB"/>
        </w:rPr>
        <w:t xml:space="preserve">the </w:t>
      </w:r>
      <w:r w:rsidRPr="00627719">
        <w:rPr>
          <w:lang w:val="en-GB"/>
        </w:rPr>
        <w:t>burden of proof</w:t>
      </w:r>
      <w:r w:rsidR="003261AD" w:rsidRPr="00627719">
        <w:rPr>
          <w:lang w:val="en-GB"/>
        </w:rPr>
        <w:t xml:space="preserve">. </w:t>
      </w:r>
      <w:r w:rsidRPr="00627719">
        <w:rPr>
          <w:lang w:val="en-GB"/>
        </w:rPr>
        <w:t xml:space="preserve">At the admissibility stage, the Panel was satisfied that the </w:t>
      </w:r>
      <w:r w:rsidR="00A813B6" w:rsidRPr="00627719">
        <w:rPr>
          <w:lang w:val="en-GB"/>
        </w:rPr>
        <w:t xml:space="preserve">complainant’s </w:t>
      </w:r>
      <w:r w:rsidRPr="00627719">
        <w:rPr>
          <w:lang w:val="en-GB"/>
        </w:rPr>
        <w:t>allegations were not groundless</w:t>
      </w:r>
      <w:r w:rsidR="00BC7A5C" w:rsidRPr="00627719">
        <w:rPr>
          <w:lang w:val="en-GB"/>
        </w:rPr>
        <w:t xml:space="preserve"> and</w:t>
      </w:r>
      <w:r w:rsidRPr="00627719">
        <w:rPr>
          <w:lang w:val="en-GB"/>
        </w:rPr>
        <w:t xml:space="preserve"> it accepted the existence of a </w:t>
      </w:r>
      <w:r w:rsidRPr="00627719">
        <w:rPr>
          <w:i/>
          <w:lang w:val="en-GB"/>
        </w:rPr>
        <w:t>prima facie</w:t>
      </w:r>
      <w:r w:rsidR="0022364D" w:rsidRPr="00627719">
        <w:rPr>
          <w:lang w:val="en-GB"/>
        </w:rPr>
        <w:t xml:space="preserve"> case: that </w:t>
      </w:r>
      <w:r w:rsidR="00D50CF5" w:rsidRPr="00627719">
        <w:rPr>
          <w:lang w:val="en-GB"/>
        </w:rPr>
        <w:t>Z</w:t>
      </w:r>
      <w:r w:rsidR="00D50CF5" w:rsidRPr="00627719">
        <w:t xml:space="preserve">oran Vukićević </w:t>
      </w:r>
      <w:r w:rsidR="00F92C88" w:rsidRPr="00627719">
        <w:t xml:space="preserve">had died </w:t>
      </w:r>
      <w:r w:rsidR="00BC7A5C" w:rsidRPr="00627719">
        <w:t>from</w:t>
      </w:r>
      <w:r w:rsidR="00F92C88" w:rsidRPr="00627719">
        <w:t xml:space="preserve"> the </w:t>
      </w:r>
      <w:r w:rsidR="00BC7A5C" w:rsidRPr="00627719">
        <w:t>injuries</w:t>
      </w:r>
      <w:r w:rsidR="00F92C88" w:rsidRPr="00627719">
        <w:t xml:space="preserve"> sustained </w:t>
      </w:r>
      <w:r w:rsidR="00D50CF5" w:rsidRPr="00627719">
        <w:t>during an armed attack</w:t>
      </w:r>
      <w:r w:rsidR="00F92C88" w:rsidRPr="00627719">
        <w:t xml:space="preserve"> </w:t>
      </w:r>
      <w:r w:rsidR="00BC7A5C" w:rsidRPr="00627719">
        <w:t>on</w:t>
      </w:r>
      <w:r w:rsidR="00F92C88" w:rsidRPr="00627719">
        <w:t xml:space="preserve"> Serbian residents of</w:t>
      </w:r>
      <w:r w:rsidR="00D50CF5" w:rsidRPr="00627719">
        <w:t xml:space="preserve"> Rahovec/Orahovac on 17 December 1999</w:t>
      </w:r>
      <w:r w:rsidR="0022364D" w:rsidRPr="00627719">
        <w:rPr>
          <w:lang w:val="en-GB"/>
        </w:rPr>
        <w:t xml:space="preserve"> and</w:t>
      </w:r>
      <w:r w:rsidR="00F03599" w:rsidRPr="00627719">
        <w:rPr>
          <w:lang w:val="en-GB"/>
        </w:rPr>
        <w:t xml:space="preserve"> that</w:t>
      </w:r>
      <w:r w:rsidR="00F92C88" w:rsidRPr="00627719">
        <w:rPr>
          <w:lang w:val="en-GB"/>
        </w:rPr>
        <w:t xml:space="preserve"> UNMIK became</w:t>
      </w:r>
      <w:r w:rsidR="00BC7A5C" w:rsidRPr="00627719">
        <w:rPr>
          <w:lang w:val="en-GB"/>
        </w:rPr>
        <w:t xml:space="preserve"> immediately</w:t>
      </w:r>
      <w:r w:rsidR="00F92C88" w:rsidRPr="00627719">
        <w:rPr>
          <w:lang w:val="en-GB"/>
        </w:rPr>
        <w:t xml:space="preserve"> aware of that</w:t>
      </w:r>
      <w:r w:rsidR="00BC7A5C" w:rsidRPr="00627719">
        <w:rPr>
          <w:lang w:val="en-GB"/>
        </w:rPr>
        <w:t xml:space="preserve"> attack.</w:t>
      </w:r>
    </w:p>
    <w:p w:rsidR="0022364D" w:rsidRPr="00627719" w:rsidRDefault="0022364D" w:rsidP="00EC64DD">
      <w:pPr>
        <w:tabs>
          <w:tab w:val="left" w:pos="360"/>
        </w:tabs>
        <w:suppressAutoHyphens/>
        <w:autoSpaceDE w:val="0"/>
        <w:ind w:left="360" w:hanging="360"/>
        <w:jc w:val="both"/>
        <w:rPr>
          <w:bCs/>
          <w:lang w:val="en-GB"/>
        </w:rPr>
      </w:pPr>
    </w:p>
    <w:p w:rsidR="002A59F7" w:rsidRPr="00627719" w:rsidRDefault="00F03599" w:rsidP="00EC64DD">
      <w:pPr>
        <w:numPr>
          <w:ilvl w:val="0"/>
          <w:numId w:val="5"/>
        </w:numPr>
        <w:tabs>
          <w:tab w:val="left" w:pos="360"/>
        </w:tabs>
        <w:suppressAutoHyphens/>
        <w:autoSpaceDE w:val="0"/>
        <w:ind w:left="360"/>
        <w:jc w:val="both"/>
        <w:rPr>
          <w:bCs/>
          <w:lang w:val="en-GB"/>
        </w:rPr>
      </w:pPr>
      <w:r w:rsidRPr="00627719">
        <w:rPr>
          <w:lang w:val="en-GB"/>
        </w:rPr>
        <w:t>Accordingly, a</w:t>
      </w:r>
      <w:r w:rsidR="002A59F7" w:rsidRPr="00627719">
        <w:rPr>
          <w:lang w:val="en-GB"/>
        </w:rPr>
        <w:t>pplying the principle</w:t>
      </w:r>
      <w:r w:rsidR="00A813B6" w:rsidRPr="00627719">
        <w:rPr>
          <w:lang w:val="en-GB"/>
        </w:rPr>
        <w:t>s discussed above</w:t>
      </w:r>
      <w:r w:rsidR="002A59F7" w:rsidRPr="00627719">
        <w:rPr>
          <w:lang w:val="en-GB"/>
        </w:rPr>
        <w:t xml:space="preserve"> (see </w:t>
      </w:r>
      <w:r w:rsidR="00FF43CB" w:rsidRPr="00627719">
        <w:rPr>
          <w:lang w:val="en-GB"/>
        </w:rPr>
        <w:t>§</w:t>
      </w:r>
      <w:r w:rsidR="002A59F7" w:rsidRPr="00627719">
        <w:rPr>
          <w:lang w:val="en-GB"/>
        </w:rPr>
        <w:t xml:space="preserve">§ </w:t>
      </w:r>
      <w:fldSimple w:instr=" REF _Ref347993393 \r \h  \* MERGEFORMAT ">
        <w:r w:rsidR="0062115B" w:rsidRPr="0062115B">
          <w:rPr>
            <w:lang w:val="en-GB"/>
          </w:rPr>
          <w:t>47</w:t>
        </w:r>
      </w:fldSimple>
      <w:r w:rsidR="002A59F7" w:rsidRPr="00627719">
        <w:rPr>
          <w:lang w:val="en-GB"/>
        </w:rPr>
        <w:t>-</w:t>
      </w:r>
      <w:fldSimple w:instr=" REF _Ref342296805 \r \h  \* MERGEFORMAT ">
        <w:r w:rsidR="0062115B" w:rsidRPr="0062115B">
          <w:rPr>
            <w:lang w:val="en-GB"/>
          </w:rPr>
          <w:t>48</w:t>
        </w:r>
      </w:fldSimple>
      <w:r w:rsidR="002A59F7" w:rsidRPr="00627719">
        <w:rPr>
          <w:lang w:val="en-GB"/>
        </w:rPr>
        <w:t xml:space="preserve">), </w:t>
      </w:r>
      <w:r w:rsidR="004F231E" w:rsidRPr="00627719">
        <w:rPr>
          <w:lang w:val="en-GB"/>
        </w:rPr>
        <w:t xml:space="preserve">the Panel considers that </w:t>
      </w:r>
      <w:r w:rsidR="007C62D8" w:rsidRPr="00627719">
        <w:rPr>
          <w:lang w:val="en-GB"/>
        </w:rPr>
        <w:t xml:space="preserve">the burden of proof </w:t>
      </w:r>
      <w:r w:rsidR="00A813B6" w:rsidRPr="00627719">
        <w:rPr>
          <w:lang w:val="en-GB"/>
        </w:rPr>
        <w:t xml:space="preserve">has </w:t>
      </w:r>
      <w:r w:rsidR="007C62D8" w:rsidRPr="00627719">
        <w:rPr>
          <w:lang w:val="en-GB"/>
        </w:rPr>
        <w:t>shifted to the respondent</w:t>
      </w:r>
      <w:r w:rsidRPr="00627719">
        <w:rPr>
          <w:lang w:val="en-GB"/>
        </w:rPr>
        <w:t>, so that</w:t>
      </w:r>
      <w:r w:rsidR="0022364D" w:rsidRPr="00627719">
        <w:rPr>
          <w:lang w:val="en-GB"/>
        </w:rPr>
        <w:t xml:space="preserve"> </w:t>
      </w:r>
      <w:r w:rsidR="007C62D8" w:rsidRPr="00627719">
        <w:rPr>
          <w:lang w:val="en-GB"/>
        </w:rPr>
        <w:t xml:space="preserve">it </w:t>
      </w:r>
      <w:r w:rsidR="00A813B6" w:rsidRPr="00627719">
        <w:rPr>
          <w:lang w:val="en-GB"/>
        </w:rPr>
        <w:t>i</w:t>
      </w:r>
      <w:r w:rsidR="007C62D8" w:rsidRPr="00627719">
        <w:rPr>
          <w:lang w:val="en-GB"/>
        </w:rPr>
        <w:t>s for UNMIK to present the Panel</w:t>
      </w:r>
      <w:r w:rsidR="004F231E" w:rsidRPr="00627719">
        <w:rPr>
          <w:lang w:val="en-GB"/>
        </w:rPr>
        <w:t xml:space="preserve"> with evidence of an adequate investigation as a defence </w:t>
      </w:r>
      <w:r w:rsidR="007C62D8" w:rsidRPr="00627719">
        <w:rPr>
          <w:lang w:val="en-GB"/>
        </w:rPr>
        <w:t>against the allegations put forward by the complainant</w:t>
      </w:r>
      <w:r w:rsidR="002A59F7" w:rsidRPr="00627719">
        <w:rPr>
          <w:lang w:val="en-GB"/>
        </w:rPr>
        <w:t xml:space="preserve"> and accepted by the Panel as </w:t>
      </w:r>
      <w:r w:rsidR="007C62D8" w:rsidRPr="00627719">
        <w:rPr>
          <w:lang w:val="en-GB"/>
        </w:rPr>
        <w:t>admissible.</w:t>
      </w:r>
      <w:r w:rsidR="003261AD" w:rsidRPr="00627719">
        <w:rPr>
          <w:lang w:val="en-GB"/>
        </w:rPr>
        <w:t xml:space="preserve"> UNMIK </w:t>
      </w:r>
      <w:r w:rsidR="00A813B6" w:rsidRPr="00627719">
        <w:rPr>
          <w:lang w:val="en-GB"/>
        </w:rPr>
        <w:t>has</w:t>
      </w:r>
      <w:r w:rsidR="002A59F7" w:rsidRPr="00627719">
        <w:rPr>
          <w:lang w:val="en-GB"/>
        </w:rPr>
        <w:t xml:space="preserve"> not </w:t>
      </w:r>
      <w:r w:rsidR="003261AD" w:rsidRPr="00627719">
        <w:rPr>
          <w:lang w:val="en-GB"/>
        </w:rPr>
        <w:t>discharge</w:t>
      </w:r>
      <w:r w:rsidR="00A813B6" w:rsidRPr="00627719">
        <w:rPr>
          <w:lang w:val="en-GB"/>
        </w:rPr>
        <w:t xml:space="preserve">d </w:t>
      </w:r>
      <w:r w:rsidR="003261AD" w:rsidRPr="00627719">
        <w:rPr>
          <w:lang w:val="en-GB"/>
        </w:rPr>
        <w:t>its obligation in this regard</w:t>
      </w:r>
      <w:r w:rsidR="00454AA4" w:rsidRPr="00627719">
        <w:rPr>
          <w:lang w:val="en-GB"/>
        </w:rPr>
        <w:t>, as it</w:t>
      </w:r>
      <w:r w:rsidR="003261AD" w:rsidRPr="00627719">
        <w:rPr>
          <w:lang w:val="en-GB"/>
        </w:rPr>
        <w:t xml:space="preserve"> </w:t>
      </w:r>
      <w:r w:rsidR="00A813B6" w:rsidRPr="00627719">
        <w:rPr>
          <w:lang w:val="en-GB"/>
        </w:rPr>
        <w:t xml:space="preserve">has </w:t>
      </w:r>
      <w:r w:rsidR="003261AD" w:rsidRPr="00627719">
        <w:rPr>
          <w:lang w:val="en-GB"/>
        </w:rPr>
        <w:t xml:space="preserve">neither </w:t>
      </w:r>
      <w:r w:rsidR="002A59F7" w:rsidRPr="00627719">
        <w:rPr>
          <w:color w:val="000000"/>
          <w:lang w:val="en-GB"/>
        </w:rPr>
        <w:t>present</w:t>
      </w:r>
      <w:r w:rsidR="00454AA4" w:rsidRPr="00627719">
        <w:rPr>
          <w:color w:val="000000"/>
          <w:lang w:val="en-GB"/>
        </w:rPr>
        <w:t>ed</w:t>
      </w:r>
      <w:r w:rsidR="002A59F7" w:rsidRPr="00627719">
        <w:rPr>
          <w:color w:val="000000"/>
          <w:lang w:val="en-GB"/>
        </w:rPr>
        <w:t xml:space="preserve"> </w:t>
      </w:r>
      <w:r w:rsidR="00A813B6" w:rsidRPr="00627719">
        <w:rPr>
          <w:color w:val="000000"/>
          <w:lang w:val="en-GB"/>
        </w:rPr>
        <w:t>an</w:t>
      </w:r>
      <w:r w:rsidR="00DB2E6D" w:rsidRPr="00627719">
        <w:rPr>
          <w:color w:val="000000"/>
          <w:lang w:val="en-GB"/>
        </w:rPr>
        <w:t>y</w:t>
      </w:r>
      <w:r w:rsidR="003261AD" w:rsidRPr="00627719">
        <w:rPr>
          <w:color w:val="000000"/>
          <w:lang w:val="en-GB"/>
        </w:rPr>
        <w:t xml:space="preserve"> investigati</w:t>
      </w:r>
      <w:r w:rsidR="00DB2E6D" w:rsidRPr="00627719">
        <w:rPr>
          <w:color w:val="000000"/>
          <w:lang w:val="en-GB"/>
        </w:rPr>
        <w:t>ve</w:t>
      </w:r>
      <w:r w:rsidR="003261AD" w:rsidRPr="00627719">
        <w:rPr>
          <w:color w:val="000000"/>
          <w:lang w:val="en-GB"/>
        </w:rPr>
        <w:t xml:space="preserve"> file, nor</w:t>
      </w:r>
      <w:r w:rsidR="003261AD" w:rsidRPr="00627719">
        <w:rPr>
          <w:lang w:val="en-GB"/>
        </w:rPr>
        <w:t xml:space="preserve"> </w:t>
      </w:r>
      <w:r w:rsidR="00A813B6" w:rsidRPr="00627719">
        <w:rPr>
          <w:lang w:val="en-GB"/>
        </w:rPr>
        <w:t xml:space="preserve">has </w:t>
      </w:r>
      <w:r w:rsidR="00454AA4" w:rsidRPr="00627719">
        <w:rPr>
          <w:lang w:val="en-GB"/>
        </w:rPr>
        <w:t xml:space="preserve">it </w:t>
      </w:r>
      <w:r w:rsidR="003261AD" w:rsidRPr="00627719">
        <w:rPr>
          <w:lang w:val="en-GB"/>
        </w:rPr>
        <w:t>in a “</w:t>
      </w:r>
      <w:r w:rsidR="003261AD" w:rsidRPr="00627719">
        <w:t>satisfactory and convincing” way e</w:t>
      </w:r>
      <w:r w:rsidR="002A59F7" w:rsidRPr="00627719">
        <w:t>xplain</w:t>
      </w:r>
      <w:r w:rsidR="00A813B6" w:rsidRPr="00627719">
        <w:t>ed</w:t>
      </w:r>
      <w:r w:rsidR="002A59F7" w:rsidRPr="00627719">
        <w:t xml:space="preserve"> its failure to do so.</w:t>
      </w:r>
      <w:r w:rsidR="001E4540" w:rsidRPr="00627719">
        <w:t xml:space="preserve"> Accordingly, the Panel will draw inferences from this situation.</w:t>
      </w:r>
    </w:p>
    <w:p w:rsidR="002A59F7" w:rsidRPr="00627719" w:rsidRDefault="002A59F7" w:rsidP="00EC64DD">
      <w:pPr>
        <w:tabs>
          <w:tab w:val="left" w:pos="360"/>
        </w:tabs>
        <w:ind w:left="360" w:hanging="360"/>
      </w:pPr>
    </w:p>
    <w:p w:rsidR="002A59F7" w:rsidRPr="00627719" w:rsidRDefault="00F03599" w:rsidP="00EC64DD">
      <w:pPr>
        <w:numPr>
          <w:ilvl w:val="0"/>
          <w:numId w:val="5"/>
        </w:numPr>
        <w:tabs>
          <w:tab w:val="left" w:pos="360"/>
        </w:tabs>
        <w:ind w:left="360"/>
        <w:jc w:val="both"/>
      </w:pPr>
      <w:r w:rsidRPr="00627719">
        <w:t>T</w:t>
      </w:r>
      <w:r w:rsidR="002A59F7" w:rsidRPr="00627719">
        <w:t xml:space="preserve">he Panel notes that </w:t>
      </w:r>
      <w:r w:rsidR="00B04854" w:rsidRPr="00627719">
        <w:t>according to the 2000 Annual Report</w:t>
      </w:r>
      <w:r w:rsidR="001E4540" w:rsidRPr="00627719">
        <w:t xml:space="preserve"> of UNMIK Police</w:t>
      </w:r>
      <w:r w:rsidR="007E039C" w:rsidRPr="00627719">
        <w:t>,</w:t>
      </w:r>
      <w:r w:rsidR="001E4540" w:rsidRPr="00627719">
        <w:t xml:space="preserve"> at least from </w:t>
      </w:r>
      <w:r w:rsidR="00B04854" w:rsidRPr="00627719">
        <w:t>mid-September 1999</w:t>
      </w:r>
      <w:r w:rsidR="00473F9B" w:rsidRPr="00627719">
        <w:t xml:space="preserve"> </w:t>
      </w:r>
      <w:r w:rsidR="002A59F7" w:rsidRPr="00627719">
        <w:t xml:space="preserve">the whole system of </w:t>
      </w:r>
      <w:r w:rsidR="00BD0E45" w:rsidRPr="00627719">
        <w:t>criminal investigation</w:t>
      </w:r>
      <w:r w:rsidR="002A59F7" w:rsidRPr="00627719">
        <w:t xml:space="preserve"> </w:t>
      </w:r>
      <w:r w:rsidR="00A813B6" w:rsidRPr="00627719">
        <w:t>in</w:t>
      </w:r>
      <w:r w:rsidR="001E4540" w:rsidRPr="00627719">
        <w:t xml:space="preserve"> Prishtinë/Priŝtina region</w:t>
      </w:r>
      <w:r w:rsidR="00A813B6" w:rsidRPr="00627719">
        <w:t xml:space="preserve"> </w:t>
      </w:r>
      <w:r w:rsidR="002A59F7" w:rsidRPr="00627719">
        <w:t xml:space="preserve">was under </w:t>
      </w:r>
      <w:r w:rsidR="00E50312" w:rsidRPr="00627719">
        <w:t xml:space="preserve">the </w:t>
      </w:r>
      <w:r w:rsidR="002A59F7" w:rsidRPr="00627719">
        <w:t>full control of UNMIK</w:t>
      </w:r>
      <w:r w:rsidR="00B029B6" w:rsidRPr="00627719">
        <w:t xml:space="preserve">. Therefore, </w:t>
      </w:r>
      <w:r w:rsidR="002A59F7" w:rsidRPr="00627719">
        <w:t xml:space="preserve">it </w:t>
      </w:r>
      <w:r w:rsidR="00E50312" w:rsidRPr="00627719">
        <w:t xml:space="preserve">was </w:t>
      </w:r>
      <w:r w:rsidR="002A59F7" w:rsidRPr="00627719">
        <w:t xml:space="preserve">UNMIK’s responsibility to ensure, </w:t>
      </w:r>
      <w:r w:rsidR="002A59F7" w:rsidRPr="00627719">
        <w:rPr>
          <w:i/>
        </w:rPr>
        <w:t>first</w:t>
      </w:r>
      <w:r w:rsidR="002A59F7" w:rsidRPr="00627719">
        <w:t xml:space="preserve">, that the investigation is conducted </w:t>
      </w:r>
      <w:r w:rsidR="009404D0" w:rsidRPr="00627719">
        <w:t xml:space="preserve">expeditiously </w:t>
      </w:r>
      <w:r w:rsidR="002A59F7" w:rsidRPr="00627719">
        <w:t xml:space="preserve">and efficiently; </w:t>
      </w:r>
      <w:r w:rsidR="002A59F7" w:rsidRPr="00627719">
        <w:rPr>
          <w:i/>
        </w:rPr>
        <w:t>second</w:t>
      </w:r>
      <w:r w:rsidR="002A59F7" w:rsidRPr="00627719">
        <w:t xml:space="preserve">, that all relevant </w:t>
      </w:r>
      <w:r w:rsidR="00B867ED" w:rsidRPr="00627719">
        <w:t xml:space="preserve">investigative </w:t>
      </w:r>
      <w:r w:rsidR="002A59F7" w:rsidRPr="00627719">
        <w:t xml:space="preserve">material is properly handed over to the authority taking over  responsibility </w:t>
      </w:r>
      <w:r w:rsidR="00E50312" w:rsidRPr="00627719">
        <w:t>for investigation</w:t>
      </w:r>
      <w:r w:rsidR="002A59F7" w:rsidRPr="00627719">
        <w:t xml:space="preserve"> (EULEX</w:t>
      </w:r>
      <w:r w:rsidR="00B029B6" w:rsidRPr="00627719">
        <w:t xml:space="preserve">, see § </w:t>
      </w:r>
      <w:fldSimple w:instr=" REF _Ref346123927 \r \h  \* MERGEFORMAT ">
        <w:r w:rsidR="0062115B">
          <w:t>18</w:t>
        </w:r>
      </w:fldSimple>
      <w:r w:rsidR="00B029B6" w:rsidRPr="00627719">
        <w:t xml:space="preserve"> above</w:t>
      </w:r>
      <w:r w:rsidR="002A59F7" w:rsidRPr="00627719">
        <w:t xml:space="preserve">); and </w:t>
      </w:r>
      <w:r w:rsidR="002A59F7" w:rsidRPr="00627719">
        <w:rPr>
          <w:i/>
        </w:rPr>
        <w:t>third</w:t>
      </w:r>
      <w:r w:rsidR="002A59F7" w:rsidRPr="00627719">
        <w:t xml:space="preserve">, that the </w:t>
      </w:r>
      <w:r w:rsidR="00B867ED" w:rsidRPr="00627719">
        <w:t xml:space="preserve">investigative </w:t>
      </w:r>
      <w:r w:rsidR="002A59F7" w:rsidRPr="00627719">
        <w:t>files could be traced and retrieved, should a need  arise at any later stage.</w:t>
      </w:r>
    </w:p>
    <w:p w:rsidR="00C2799A" w:rsidRPr="00627719" w:rsidRDefault="00C2799A" w:rsidP="00EC64DD">
      <w:pPr>
        <w:pStyle w:val="ListParagraph"/>
        <w:tabs>
          <w:tab w:val="left" w:pos="360"/>
        </w:tabs>
        <w:ind w:left="360" w:hanging="360"/>
      </w:pPr>
    </w:p>
    <w:p w:rsidR="002A59F7" w:rsidRPr="00627719" w:rsidRDefault="00B06BDD" w:rsidP="00EC64DD">
      <w:pPr>
        <w:numPr>
          <w:ilvl w:val="0"/>
          <w:numId w:val="5"/>
        </w:numPr>
        <w:tabs>
          <w:tab w:val="left" w:pos="360"/>
        </w:tabs>
        <w:ind w:left="360"/>
        <w:jc w:val="both"/>
      </w:pPr>
      <w:r w:rsidRPr="00627719">
        <w:t>The Panel infers</w:t>
      </w:r>
      <w:r w:rsidR="002A59F7" w:rsidRPr="00627719">
        <w:t xml:space="preserve"> </w:t>
      </w:r>
      <w:r w:rsidRPr="00627719">
        <w:t>from</w:t>
      </w:r>
      <w:r w:rsidR="002A59F7" w:rsidRPr="00627719">
        <w:t xml:space="preserve"> the absence of</w:t>
      </w:r>
      <w:r w:rsidR="00454AA4" w:rsidRPr="00627719">
        <w:t xml:space="preserve"> any </w:t>
      </w:r>
      <w:r w:rsidRPr="00627719">
        <w:t>investigative</w:t>
      </w:r>
      <w:r w:rsidR="002A59F7" w:rsidRPr="00627719">
        <w:t xml:space="preserve"> file </w:t>
      </w:r>
      <w:r w:rsidRPr="00627719">
        <w:t xml:space="preserve">that one </w:t>
      </w:r>
      <w:r w:rsidR="002A59F7" w:rsidRPr="00627719">
        <w:t>of the following situations</w:t>
      </w:r>
      <w:r w:rsidRPr="00627719">
        <w:t xml:space="preserve"> </w:t>
      </w:r>
      <w:r w:rsidR="00B029B6" w:rsidRPr="00627719">
        <w:t>o</w:t>
      </w:r>
      <w:r w:rsidRPr="00627719">
        <w:t>ccurred</w:t>
      </w:r>
      <w:r w:rsidR="002A59F7" w:rsidRPr="00627719">
        <w:t>:</w:t>
      </w:r>
      <w:r w:rsidRPr="00627719">
        <w:t xml:space="preserve"> </w:t>
      </w:r>
      <w:r w:rsidR="002A59F7" w:rsidRPr="00627719">
        <w:t>no investigation was carried out;</w:t>
      </w:r>
      <w:r w:rsidRPr="00627719">
        <w:t xml:space="preserve"> UNMIK</w:t>
      </w:r>
      <w:r w:rsidR="002A59F7" w:rsidRPr="00627719">
        <w:t xml:space="preserve"> deliberately opted not to present the file to the Panel, despite its obligation to </w:t>
      </w:r>
      <w:r w:rsidR="002A59F7" w:rsidRPr="00627719">
        <w:rPr>
          <w:color w:val="000000"/>
        </w:rPr>
        <w:t xml:space="preserve">cooperate with the Panel and </w:t>
      </w:r>
      <w:r w:rsidR="00A813B6" w:rsidRPr="00627719">
        <w:rPr>
          <w:color w:val="000000"/>
        </w:rPr>
        <w:t xml:space="preserve">to </w:t>
      </w:r>
      <w:r w:rsidR="002A59F7" w:rsidRPr="00627719">
        <w:rPr>
          <w:color w:val="000000"/>
        </w:rPr>
        <w:t xml:space="preserve">provide it with the necessary assistance, including the release of documents relevant to the complaints </w:t>
      </w:r>
      <w:r w:rsidR="002A59F7" w:rsidRPr="00627719">
        <w:t>under</w:t>
      </w:r>
      <w:r w:rsidR="002A59F7" w:rsidRPr="00627719">
        <w:rPr>
          <w:color w:val="000000"/>
        </w:rPr>
        <w:t xml:space="preserve"> Section 15 of UNMIK Regulation No. 2006/12</w:t>
      </w:r>
      <w:r w:rsidR="00B029B6" w:rsidRPr="00627719">
        <w:rPr>
          <w:color w:val="000000"/>
        </w:rPr>
        <w:t xml:space="preserve"> </w:t>
      </w:r>
      <w:r w:rsidR="002A2F09" w:rsidRPr="00627719">
        <w:rPr>
          <w:color w:val="000000"/>
        </w:rPr>
        <w:t>(</w:t>
      </w:r>
      <w:r w:rsidR="00B029B6" w:rsidRPr="00627719">
        <w:rPr>
          <w:color w:val="000000"/>
        </w:rPr>
        <w:t>cited in §</w:t>
      </w:r>
      <w:r w:rsidR="003409AA" w:rsidRPr="00627719">
        <w:rPr>
          <w:color w:val="000000"/>
        </w:rPr>
        <w:t xml:space="preserve"> </w:t>
      </w:r>
      <w:fldSimple w:instr=" REF _Ref350160673 \r \h  \* MERGEFORMAT ">
        <w:r w:rsidR="0062115B">
          <w:rPr>
            <w:color w:val="000000"/>
          </w:rPr>
          <w:t>44</w:t>
        </w:r>
      </w:fldSimple>
      <w:r w:rsidR="00B029B6" w:rsidRPr="00627719">
        <w:rPr>
          <w:color w:val="000000"/>
        </w:rPr>
        <w:t xml:space="preserve"> above)</w:t>
      </w:r>
      <w:r w:rsidR="002A59F7" w:rsidRPr="00627719">
        <w:rPr>
          <w:color w:val="000000"/>
        </w:rPr>
        <w:t>;</w:t>
      </w:r>
      <w:r w:rsidRPr="00627719">
        <w:rPr>
          <w:color w:val="000000"/>
        </w:rPr>
        <w:t xml:space="preserve"> </w:t>
      </w:r>
      <w:r w:rsidR="002A59F7" w:rsidRPr="00627719">
        <w:rPr>
          <w:color w:val="000000"/>
        </w:rPr>
        <w:t xml:space="preserve">the file was not properly handed over to </w:t>
      </w:r>
      <w:r w:rsidR="00CB7C72" w:rsidRPr="00627719">
        <w:rPr>
          <w:color w:val="000000"/>
        </w:rPr>
        <w:t>EULEX</w:t>
      </w:r>
      <w:r w:rsidR="002A59F7" w:rsidRPr="00627719">
        <w:rPr>
          <w:color w:val="000000"/>
        </w:rPr>
        <w:t>;</w:t>
      </w:r>
      <w:r w:rsidR="00B029B6" w:rsidRPr="00627719">
        <w:rPr>
          <w:color w:val="000000"/>
        </w:rPr>
        <w:t xml:space="preserve"> or</w:t>
      </w:r>
      <w:r w:rsidR="002A2F09" w:rsidRPr="00627719">
        <w:rPr>
          <w:color w:val="000000"/>
        </w:rPr>
        <w:t xml:space="preserve"> UNMIK failed to retrieve the file from the </w:t>
      </w:r>
      <w:r w:rsidR="00DB2E6D" w:rsidRPr="00627719">
        <w:rPr>
          <w:color w:val="000000"/>
        </w:rPr>
        <w:t xml:space="preserve">current </w:t>
      </w:r>
      <w:r w:rsidR="002A2F09" w:rsidRPr="00627719">
        <w:rPr>
          <w:color w:val="000000"/>
        </w:rPr>
        <w:t>custodian.</w:t>
      </w:r>
    </w:p>
    <w:p w:rsidR="002A2F09" w:rsidRPr="00627719" w:rsidRDefault="002A2F09" w:rsidP="00EC64DD">
      <w:pPr>
        <w:tabs>
          <w:tab w:val="left" w:pos="360"/>
        </w:tabs>
        <w:ind w:left="360" w:hanging="360"/>
        <w:jc w:val="both"/>
      </w:pPr>
    </w:p>
    <w:p w:rsidR="007F6026" w:rsidRPr="00627719" w:rsidRDefault="00D44B15" w:rsidP="00EC64DD">
      <w:pPr>
        <w:numPr>
          <w:ilvl w:val="0"/>
          <w:numId w:val="5"/>
        </w:numPr>
        <w:tabs>
          <w:tab w:val="left" w:pos="360"/>
        </w:tabs>
        <w:ind w:left="360"/>
        <w:jc w:val="both"/>
      </w:pPr>
      <w:r w:rsidRPr="00627719">
        <w:t xml:space="preserve">The Panel </w:t>
      </w:r>
      <w:r w:rsidR="00454AA4" w:rsidRPr="00627719">
        <w:t xml:space="preserve">has </w:t>
      </w:r>
      <w:r w:rsidRPr="00627719">
        <w:t>already note</w:t>
      </w:r>
      <w:r w:rsidR="00454AA4" w:rsidRPr="00627719">
        <w:t>d above that it has no reason t</w:t>
      </w:r>
      <w:r w:rsidRPr="00627719">
        <w:t xml:space="preserve">o doubt UNMIK’s good faith in </w:t>
      </w:r>
      <w:r w:rsidR="00FE24B3" w:rsidRPr="00627719">
        <w:t>seeking to provide</w:t>
      </w:r>
      <w:r w:rsidRPr="00627719">
        <w:t xml:space="preserve"> the </w:t>
      </w:r>
      <w:r w:rsidR="00B867ED" w:rsidRPr="00627719">
        <w:t xml:space="preserve">investigative </w:t>
      </w:r>
      <w:r w:rsidRPr="00627719">
        <w:t xml:space="preserve">file for the Panel’s review. However, </w:t>
      </w:r>
      <w:r w:rsidR="00454AA4" w:rsidRPr="00627719">
        <w:t xml:space="preserve">the </w:t>
      </w:r>
      <w:r w:rsidR="00CB7C72" w:rsidRPr="00627719">
        <w:t xml:space="preserve">Panel considers that </w:t>
      </w:r>
      <w:r w:rsidR="00FE24B3" w:rsidRPr="00627719">
        <w:t xml:space="preserve">whichever of these </w:t>
      </w:r>
      <w:r w:rsidR="00CB7C72" w:rsidRPr="00627719">
        <w:t>potential</w:t>
      </w:r>
      <w:r w:rsidR="00DC45A3" w:rsidRPr="00627719">
        <w:t xml:space="preserve"> </w:t>
      </w:r>
      <w:r w:rsidR="00CB7C72" w:rsidRPr="00627719">
        <w:t xml:space="preserve">explanations </w:t>
      </w:r>
      <w:r w:rsidR="00FE24B3" w:rsidRPr="00627719">
        <w:t>is applicable, it indicates a</w:t>
      </w:r>
      <w:r w:rsidR="00CB7C72" w:rsidRPr="00627719">
        <w:t xml:space="preserve"> failure</w:t>
      </w:r>
      <w:r w:rsidR="00B06BDD" w:rsidRPr="00627719">
        <w:t>,</w:t>
      </w:r>
      <w:r w:rsidR="00FE24B3" w:rsidRPr="00627719">
        <w:t xml:space="preserve"> which is </w:t>
      </w:r>
      <w:r w:rsidR="00AA5505" w:rsidRPr="00627719">
        <w:t>d</w:t>
      </w:r>
      <w:r w:rsidR="00CB7C72" w:rsidRPr="00627719">
        <w:t>irectly attribut</w:t>
      </w:r>
      <w:r w:rsidRPr="00627719">
        <w:t>able</w:t>
      </w:r>
      <w:r w:rsidR="00CB7C72" w:rsidRPr="00627719">
        <w:t xml:space="preserve"> to UNMIK, either when it was exercising its executive functions, or in its current capacity.</w:t>
      </w:r>
    </w:p>
    <w:p w:rsidR="007C502D" w:rsidRPr="00627719" w:rsidRDefault="007C502D" w:rsidP="00EC64DD">
      <w:pPr>
        <w:pStyle w:val="ListParagraph"/>
        <w:tabs>
          <w:tab w:val="left" w:pos="360"/>
        </w:tabs>
        <w:ind w:left="360" w:hanging="360"/>
        <w:rPr>
          <w:bCs/>
          <w:lang w:val="en-GB"/>
        </w:rPr>
      </w:pPr>
    </w:p>
    <w:p w:rsidR="007F6026" w:rsidRPr="00627719" w:rsidRDefault="00B53054" w:rsidP="00EC64DD">
      <w:pPr>
        <w:numPr>
          <w:ilvl w:val="0"/>
          <w:numId w:val="5"/>
        </w:numPr>
        <w:tabs>
          <w:tab w:val="left" w:pos="360"/>
        </w:tabs>
        <w:ind w:left="360"/>
        <w:jc w:val="both"/>
      </w:pPr>
      <w:r w:rsidRPr="00627719">
        <w:rPr>
          <w:bCs/>
          <w:color w:val="000000"/>
          <w:lang w:val="en-GB"/>
        </w:rPr>
        <w:t>Examining the particulars of this case</w:t>
      </w:r>
      <w:r w:rsidR="007C502D" w:rsidRPr="00627719">
        <w:rPr>
          <w:bCs/>
          <w:color w:val="000000"/>
          <w:lang w:val="en-GB"/>
        </w:rPr>
        <w:t xml:space="preserve">, </w:t>
      </w:r>
      <w:r w:rsidR="00F03599" w:rsidRPr="00627719">
        <w:rPr>
          <w:bCs/>
          <w:color w:val="000000"/>
          <w:lang w:val="en-GB"/>
        </w:rPr>
        <w:t xml:space="preserve">the Panel notes that </w:t>
      </w:r>
      <w:r w:rsidR="00473F9B" w:rsidRPr="00627719">
        <w:rPr>
          <w:bCs/>
          <w:color w:val="000000"/>
          <w:lang w:val="en-GB"/>
        </w:rPr>
        <w:t xml:space="preserve">there </w:t>
      </w:r>
      <w:r w:rsidR="00F03599" w:rsidRPr="00627719">
        <w:rPr>
          <w:color w:val="000000"/>
        </w:rPr>
        <w:t>were obvious</w:t>
      </w:r>
      <w:r w:rsidR="00F03599" w:rsidRPr="00627719">
        <w:t xml:space="preserve"> shortcomings in the conduct of the i</w:t>
      </w:r>
      <w:r w:rsidR="002A2F09" w:rsidRPr="00627719">
        <w:t>nvestigation from its inception, having in mind that</w:t>
      </w:r>
      <w:r w:rsidR="00F03599" w:rsidRPr="00627719">
        <w:t xml:space="preserve"> </w:t>
      </w:r>
      <w:r w:rsidR="00BA4103" w:rsidRPr="00627719">
        <w:rPr>
          <w:bCs/>
          <w:lang w:val="en-GB"/>
        </w:rPr>
        <w:t>that the initial stage of the investigat</w:t>
      </w:r>
      <w:r w:rsidR="002A2F09" w:rsidRPr="00627719">
        <w:rPr>
          <w:bCs/>
          <w:lang w:val="en-GB"/>
        </w:rPr>
        <w:t>ion is of the utmost importance</w:t>
      </w:r>
      <w:r w:rsidR="00BA4103" w:rsidRPr="00627719">
        <w:rPr>
          <w:bCs/>
          <w:lang w:val="en-GB"/>
        </w:rPr>
        <w:t>.</w:t>
      </w:r>
      <w:r w:rsidR="009C5037" w:rsidRPr="00627719">
        <w:rPr>
          <w:bCs/>
          <w:lang w:val="en-GB"/>
        </w:rPr>
        <w:t xml:space="preserve"> </w:t>
      </w:r>
      <w:r w:rsidR="007F6026" w:rsidRPr="00627719">
        <w:t xml:space="preserve">However, in </w:t>
      </w:r>
      <w:r w:rsidR="007F6026" w:rsidRPr="00627719">
        <w:rPr>
          <w:color w:val="000000"/>
        </w:rPr>
        <w:t>light of the considerations developed above concerning its limited temporal jurisdiction (see §</w:t>
      </w:r>
      <w:r w:rsidR="00B122A2" w:rsidRPr="00627719">
        <w:rPr>
          <w:color w:val="000000"/>
        </w:rPr>
        <w:t xml:space="preserve"> </w:t>
      </w:r>
      <w:fldSimple w:instr=" REF _Ref350160673 \r \h  \* MERGEFORMAT ">
        <w:r w:rsidR="0062115B" w:rsidRPr="0062115B">
          <w:rPr>
            <w:color w:val="000000"/>
          </w:rPr>
          <w:t>44</w:t>
        </w:r>
      </w:fldSimple>
      <w:r w:rsidR="007F6026" w:rsidRPr="00627719">
        <w:rPr>
          <w:color w:val="000000"/>
        </w:rPr>
        <w:t xml:space="preserve">), the Panel recalls that it is competent </w:t>
      </w:r>
      <w:r w:rsidR="007F6026" w:rsidRPr="00627719">
        <w:rPr>
          <w:i/>
          <w:color w:val="000000"/>
        </w:rPr>
        <w:t>ratione temporis</w:t>
      </w:r>
      <w:r w:rsidR="007F6026" w:rsidRPr="00627719">
        <w:rPr>
          <w:color w:val="000000"/>
        </w:rPr>
        <w:t xml:space="preserve"> to evaluate the compliance of the investigation with Article 2 of the ECHR only for the period after 23 April 2005, </w:t>
      </w:r>
      <w:r w:rsidR="007F6026" w:rsidRPr="00627719">
        <w:t xml:space="preserve">while taking into consideration the state of the case at that date (ECtHR, </w:t>
      </w:r>
      <w:r w:rsidR="007F6026" w:rsidRPr="00627719">
        <w:rPr>
          <w:i/>
        </w:rPr>
        <w:t>Palić v. Bosnia and Herzegovina</w:t>
      </w:r>
      <w:r w:rsidR="007F6026" w:rsidRPr="00627719">
        <w:t xml:space="preserve">, cited </w:t>
      </w:r>
      <w:r w:rsidR="00473F9B" w:rsidRPr="00627719">
        <w:t xml:space="preserve">in </w:t>
      </w:r>
      <w:r w:rsidR="007F6026" w:rsidRPr="00627719">
        <w:t xml:space="preserve">§ </w:t>
      </w:r>
      <w:fldSimple w:instr=" REF _Ref346724174 \r \h  \* MERGEFORMAT ">
        <w:r w:rsidR="0062115B">
          <w:t>55</w:t>
        </w:r>
      </w:fldSimple>
      <w:r w:rsidR="00473F9B" w:rsidRPr="00627719">
        <w:t xml:space="preserve"> </w:t>
      </w:r>
      <w:r w:rsidR="007F6026" w:rsidRPr="00627719">
        <w:t>above</w:t>
      </w:r>
      <w:r w:rsidR="00473F9B" w:rsidRPr="00627719">
        <w:t>, at</w:t>
      </w:r>
      <w:r w:rsidR="007F6026" w:rsidRPr="00627719">
        <w:t xml:space="preserve"> § 70)</w:t>
      </w:r>
      <w:r w:rsidR="007F6026" w:rsidRPr="00627719">
        <w:rPr>
          <w:color w:val="000000"/>
        </w:rPr>
        <w:t xml:space="preserve">. The period under review ends on 9 December 2008, with EULEX taking over responsibility in the area of administration of justice (see § </w:t>
      </w:r>
      <w:fldSimple w:instr=" REF _Ref346123927 \r \h  \* MERGEFORMAT ">
        <w:r w:rsidR="0062115B" w:rsidRPr="0062115B">
          <w:rPr>
            <w:color w:val="000000"/>
          </w:rPr>
          <w:t>18</w:t>
        </w:r>
      </w:fldSimple>
      <w:r w:rsidR="00473F9B" w:rsidRPr="00627719">
        <w:rPr>
          <w:color w:val="000000"/>
        </w:rPr>
        <w:t xml:space="preserve"> </w:t>
      </w:r>
      <w:r w:rsidR="007F6026" w:rsidRPr="00627719">
        <w:rPr>
          <w:color w:val="000000"/>
        </w:rPr>
        <w:t xml:space="preserve">above). </w:t>
      </w:r>
    </w:p>
    <w:p w:rsidR="007F6026" w:rsidRPr="00627719" w:rsidRDefault="007F6026" w:rsidP="00EC64DD">
      <w:pPr>
        <w:tabs>
          <w:tab w:val="left" w:pos="360"/>
        </w:tabs>
        <w:ind w:left="360" w:hanging="360"/>
      </w:pPr>
    </w:p>
    <w:p w:rsidR="00CC21CD" w:rsidRPr="00627719" w:rsidRDefault="007F6026" w:rsidP="00EC64DD">
      <w:pPr>
        <w:numPr>
          <w:ilvl w:val="0"/>
          <w:numId w:val="5"/>
        </w:numPr>
        <w:tabs>
          <w:tab w:val="left" w:pos="360"/>
        </w:tabs>
        <w:ind w:left="360"/>
        <w:jc w:val="both"/>
      </w:pPr>
      <w:r w:rsidRPr="00627719">
        <w:rPr>
          <w:color w:val="000000"/>
        </w:rPr>
        <w:t>The Panel notes that from the moment UNMIK became aware of the</w:t>
      </w:r>
      <w:r w:rsidR="00BC7A5C" w:rsidRPr="00627719">
        <w:rPr>
          <w:color w:val="000000"/>
        </w:rPr>
        <w:t xml:space="preserve"> armed</w:t>
      </w:r>
      <w:r w:rsidRPr="00627719">
        <w:rPr>
          <w:color w:val="000000"/>
        </w:rPr>
        <w:t xml:space="preserve"> </w:t>
      </w:r>
      <w:r w:rsidR="00BC7A5C" w:rsidRPr="00627719">
        <w:rPr>
          <w:color w:val="000000"/>
        </w:rPr>
        <w:t>att</w:t>
      </w:r>
      <w:r w:rsidR="006C32AC" w:rsidRPr="00627719">
        <w:rPr>
          <w:color w:val="000000"/>
        </w:rPr>
        <w:t>ack</w:t>
      </w:r>
      <w:r w:rsidR="00EE56EC" w:rsidRPr="00627719">
        <w:rPr>
          <w:color w:val="000000"/>
        </w:rPr>
        <w:t xml:space="preserve"> </w:t>
      </w:r>
      <w:r w:rsidRPr="00627719">
        <w:rPr>
          <w:color w:val="000000"/>
        </w:rPr>
        <w:t xml:space="preserve">until 23 April 2005, the only </w:t>
      </w:r>
      <w:r w:rsidR="00F92C88" w:rsidRPr="00627719">
        <w:rPr>
          <w:color w:val="000000"/>
        </w:rPr>
        <w:t xml:space="preserve">documented </w:t>
      </w:r>
      <w:r w:rsidRPr="00627719">
        <w:rPr>
          <w:color w:val="000000"/>
        </w:rPr>
        <w:t>actions</w:t>
      </w:r>
      <w:r w:rsidRPr="00627719">
        <w:t xml:space="preserve"> undertaken by UNMIK relate to the </w:t>
      </w:r>
      <w:r w:rsidR="00F92C88" w:rsidRPr="00627719">
        <w:t xml:space="preserve">limited actions of UNMIK Police, </w:t>
      </w:r>
      <w:r w:rsidR="00CC21CD" w:rsidRPr="00627719">
        <w:t xml:space="preserve">conducted </w:t>
      </w:r>
      <w:r w:rsidR="00F92C88" w:rsidRPr="00627719">
        <w:t xml:space="preserve">in coordination with KFOR, to secure the crime scene, preserve the evidence, transport the two severely wounded victims to </w:t>
      </w:r>
      <w:r w:rsidR="00BC7A5C" w:rsidRPr="00627719">
        <w:t xml:space="preserve">a </w:t>
      </w:r>
      <w:r w:rsidR="00F92C88" w:rsidRPr="00627719">
        <w:t xml:space="preserve">medical facility and follow up on a potential lead. In addition, as per </w:t>
      </w:r>
      <w:r w:rsidR="00BC7A5C" w:rsidRPr="00627719">
        <w:t xml:space="preserve">the </w:t>
      </w:r>
      <w:r w:rsidR="00F92C88" w:rsidRPr="00627719">
        <w:t xml:space="preserve">complainant’s submission, KFOR </w:t>
      </w:r>
      <w:r w:rsidR="00CC21CD" w:rsidRPr="00627719">
        <w:t>facilitated</w:t>
      </w:r>
      <w:r w:rsidR="00F92C88" w:rsidRPr="00627719">
        <w:t xml:space="preserve"> her family’s transport to the boundary crossing with Serbia</w:t>
      </w:r>
      <w:r w:rsidR="00CC21CD" w:rsidRPr="00627719">
        <w:t xml:space="preserve"> proper</w:t>
      </w:r>
      <w:r w:rsidR="00F92C88" w:rsidRPr="00627719">
        <w:t xml:space="preserve"> and, a week later, the handover of her husband’s body.</w:t>
      </w:r>
      <w:r w:rsidR="00BA4103" w:rsidRPr="00627719">
        <w:t xml:space="preserve"> </w:t>
      </w:r>
    </w:p>
    <w:p w:rsidR="00CC21CD" w:rsidRPr="00627719" w:rsidRDefault="00CC21CD" w:rsidP="00CC21CD">
      <w:pPr>
        <w:pStyle w:val="ListParagraph"/>
      </w:pPr>
    </w:p>
    <w:p w:rsidR="00D94FD5" w:rsidRPr="00627719" w:rsidRDefault="00CC21CD" w:rsidP="00EC64DD">
      <w:pPr>
        <w:numPr>
          <w:ilvl w:val="0"/>
          <w:numId w:val="5"/>
        </w:numPr>
        <w:tabs>
          <w:tab w:val="left" w:pos="360"/>
        </w:tabs>
        <w:ind w:left="360"/>
        <w:jc w:val="both"/>
      </w:pPr>
      <w:r w:rsidRPr="00627719">
        <w:t xml:space="preserve">Despite </w:t>
      </w:r>
      <w:r w:rsidR="00EE56EC" w:rsidRPr="00627719">
        <w:t>suggestions above</w:t>
      </w:r>
      <w:r w:rsidRPr="00627719">
        <w:t xml:space="preserve"> of the RIU apparently taking over the investigation from the Rahovec/</w:t>
      </w:r>
      <w:r w:rsidRPr="00627719">
        <w:rPr>
          <w:color w:val="000000"/>
        </w:rPr>
        <w:t>Orahovac</w:t>
      </w:r>
      <w:r w:rsidRPr="00627719">
        <w:rPr>
          <w:color w:val="0000CC"/>
        </w:rPr>
        <w:t xml:space="preserve"> </w:t>
      </w:r>
      <w:r w:rsidRPr="00627719">
        <w:t xml:space="preserve">police station (see § </w:t>
      </w:r>
      <w:fldSimple w:instr=" REF _Ref349811544 \r \h  \* MERGEFORMAT ">
        <w:r w:rsidR="0062115B">
          <w:t>43</w:t>
        </w:r>
      </w:fldSimple>
      <w:r w:rsidRPr="00627719">
        <w:t xml:space="preserve"> above), </w:t>
      </w:r>
      <w:r w:rsidR="00BA4103" w:rsidRPr="00627719">
        <w:t xml:space="preserve">there </w:t>
      </w:r>
      <w:r w:rsidRPr="00627719">
        <w:t>are</w:t>
      </w:r>
      <w:r w:rsidR="00BA4103" w:rsidRPr="00627719">
        <w:t xml:space="preserve"> no </w:t>
      </w:r>
      <w:r w:rsidRPr="00627719">
        <w:t xml:space="preserve">documents </w:t>
      </w:r>
      <w:r w:rsidR="00EE56EC" w:rsidRPr="00627719">
        <w:t>to</w:t>
      </w:r>
      <w:r w:rsidRPr="00627719">
        <w:t xml:space="preserve"> </w:t>
      </w:r>
      <w:r w:rsidR="00CE7A08" w:rsidRPr="00627719">
        <w:t>show</w:t>
      </w:r>
      <w:r w:rsidRPr="00627719">
        <w:t xml:space="preserve"> </w:t>
      </w:r>
      <w:r w:rsidR="00BA4103" w:rsidRPr="00627719">
        <w:t xml:space="preserve">that any </w:t>
      </w:r>
      <w:r w:rsidR="00F92C88" w:rsidRPr="00627719">
        <w:t xml:space="preserve">further investigative </w:t>
      </w:r>
      <w:r w:rsidR="00BA4103" w:rsidRPr="00627719">
        <w:t xml:space="preserve">action was undertaken </w:t>
      </w:r>
      <w:r w:rsidR="00D94FD5" w:rsidRPr="00627719">
        <w:t xml:space="preserve">with respect to clarifying the circumstances surrounding </w:t>
      </w:r>
      <w:r w:rsidR="00CE7A08" w:rsidRPr="00627719">
        <w:t xml:space="preserve">the armed </w:t>
      </w:r>
      <w:r w:rsidR="00CE7A08" w:rsidRPr="00627719">
        <w:rPr>
          <w:color w:val="000000"/>
        </w:rPr>
        <w:t>attack</w:t>
      </w:r>
      <w:r w:rsidR="00CE7A08" w:rsidRPr="00627719">
        <w:rPr>
          <w:color w:val="0000CC"/>
        </w:rPr>
        <w:t xml:space="preserve"> </w:t>
      </w:r>
      <w:r w:rsidR="00CE7A08" w:rsidRPr="00627719">
        <w:t xml:space="preserve">of 17 December 1999, which led to </w:t>
      </w:r>
      <w:r w:rsidR="00F92C88" w:rsidRPr="00627719">
        <w:t>Zoran Vukićević</w:t>
      </w:r>
      <w:r w:rsidR="00D94FD5" w:rsidRPr="00627719">
        <w:t xml:space="preserve">’s </w:t>
      </w:r>
      <w:r w:rsidR="00863205" w:rsidRPr="00627719">
        <w:rPr>
          <w:color w:val="000000"/>
        </w:rPr>
        <w:t>death</w:t>
      </w:r>
      <w:r w:rsidR="00725F27" w:rsidRPr="00627719">
        <w:rPr>
          <w:color w:val="000000"/>
        </w:rPr>
        <w:t>,</w:t>
      </w:r>
      <w:r w:rsidR="00863205" w:rsidRPr="00627719">
        <w:rPr>
          <w:color w:val="000000"/>
        </w:rPr>
        <w:t xml:space="preserve"> and bringing </w:t>
      </w:r>
      <w:r w:rsidR="00EE56EC" w:rsidRPr="00627719">
        <w:rPr>
          <w:color w:val="000000"/>
        </w:rPr>
        <w:t xml:space="preserve">the </w:t>
      </w:r>
      <w:r w:rsidR="00863205" w:rsidRPr="00627719">
        <w:rPr>
          <w:color w:val="000000"/>
        </w:rPr>
        <w:t>perpetrators to justice.</w:t>
      </w:r>
    </w:p>
    <w:p w:rsidR="00725F27" w:rsidRPr="00627719" w:rsidRDefault="00725F27" w:rsidP="00EE56EC">
      <w:pPr>
        <w:pStyle w:val="ListParagraph"/>
        <w:ind w:left="0"/>
      </w:pPr>
    </w:p>
    <w:p w:rsidR="00CC21CD" w:rsidRPr="00627719" w:rsidRDefault="00BA4103" w:rsidP="00EE56EC">
      <w:pPr>
        <w:numPr>
          <w:ilvl w:val="0"/>
          <w:numId w:val="5"/>
        </w:numPr>
        <w:tabs>
          <w:tab w:val="left" w:pos="360"/>
        </w:tabs>
        <w:ind w:left="360"/>
        <w:jc w:val="both"/>
        <w:rPr>
          <w:b/>
          <w:color w:val="000000"/>
        </w:rPr>
      </w:pPr>
      <w:r w:rsidRPr="00627719">
        <w:rPr>
          <w:color w:val="000000"/>
        </w:rPr>
        <w:t>In particular, there is no indication that UNMIK Police undertook</w:t>
      </w:r>
      <w:r w:rsidR="000D0C46" w:rsidRPr="00627719">
        <w:rPr>
          <w:color w:val="000000"/>
        </w:rPr>
        <w:t xml:space="preserve"> any</w:t>
      </w:r>
      <w:r w:rsidR="00BC7A5C" w:rsidRPr="00627719">
        <w:rPr>
          <w:color w:val="000000"/>
        </w:rPr>
        <w:t xml:space="preserve"> further </w:t>
      </w:r>
      <w:r w:rsidRPr="00627719">
        <w:rPr>
          <w:color w:val="000000"/>
        </w:rPr>
        <w:t xml:space="preserve">investigative </w:t>
      </w:r>
      <w:r w:rsidRPr="00627719">
        <w:t>s</w:t>
      </w:r>
      <w:r w:rsidR="000D0C46" w:rsidRPr="00627719">
        <w:t>teps</w:t>
      </w:r>
      <w:r w:rsidR="00CE7A08" w:rsidRPr="00627719">
        <w:rPr>
          <w:color w:val="000000"/>
        </w:rPr>
        <w:t>,</w:t>
      </w:r>
      <w:r w:rsidR="000D0C46" w:rsidRPr="00627719">
        <w:rPr>
          <w:color w:val="000000"/>
        </w:rPr>
        <w:t xml:space="preserve"> </w:t>
      </w:r>
      <w:r w:rsidRPr="00627719">
        <w:rPr>
          <w:color w:val="000000"/>
        </w:rPr>
        <w:t xml:space="preserve">such as: </w:t>
      </w:r>
      <w:r w:rsidR="009A1A66" w:rsidRPr="00627719">
        <w:rPr>
          <w:color w:val="000000"/>
        </w:rPr>
        <w:t>interviewing the complainant,</w:t>
      </w:r>
      <w:r w:rsidR="00CE7A08" w:rsidRPr="00627719">
        <w:rPr>
          <w:color w:val="000000"/>
        </w:rPr>
        <w:t xml:space="preserve"> interviewing the other victims of the attack, locating and </w:t>
      </w:r>
      <w:r w:rsidR="009A1A66" w:rsidRPr="00627719">
        <w:rPr>
          <w:color w:val="000000"/>
        </w:rPr>
        <w:t>interviewing witnesses</w:t>
      </w:r>
      <w:r w:rsidR="00CE7A08" w:rsidRPr="00627719">
        <w:rPr>
          <w:color w:val="000000"/>
        </w:rPr>
        <w:t>, especially eye-witnesses, in the neighborhood, conducting ballistic examination of the bullets and spent shell casings found at the scene.</w:t>
      </w:r>
    </w:p>
    <w:p w:rsidR="00EE56EC" w:rsidRPr="00627719" w:rsidRDefault="00EE56EC" w:rsidP="00EE56EC">
      <w:pPr>
        <w:pStyle w:val="ListParagraph"/>
        <w:ind w:left="0"/>
        <w:rPr>
          <w:b/>
          <w:color w:val="000000"/>
        </w:rPr>
      </w:pPr>
    </w:p>
    <w:p w:rsidR="00A86544" w:rsidRPr="00627719" w:rsidRDefault="000D0C46" w:rsidP="00A86544">
      <w:pPr>
        <w:numPr>
          <w:ilvl w:val="0"/>
          <w:numId w:val="5"/>
        </w:numPr>
        <w:tabs>
          <w:tab w:val="left" w:pos="360"/>
        </w:tabs>
        <w:ind w:left="360"/>
        <w:jc w:val="both"/>
        <w:rPr>
          <w:color w:val="000000"/>
        </w:rPr>
      </w:pPr>
      <w:r w:rsidRPr="00627719">
        <w:rPr>
          <w:color w:val="000000"/>
        </w:rPr>
        <w:t>Coming to the period within its jurisdiction, starting from 23 April 2005, the Panel notes that</w:t>
      </w:r>
      <w:r w:rsidR="00D94FD5" w:rsidRPr="00627719">
        <w:rPr>
          <w:color w:val="000000"/>
        </w:rPr>
        <w:t xml:space="preserve"> there is no evidence </w:t>
      </w:r>
      <w:r w:rsidR="00D94FD5" w:rsidRPr="00627719">
        <w:t>that</w:t>
      </w:r>
      <w:r w:rsidRPr="00627719">
        <w:t xml:space="preserve"> </w:t>
      </w:r>
      <w:r w:rsidR="00BE444C" w:rsidRPr="00627719">
        <w:t xml:space="preserve">the </w:t>
      </w:r>
      <w:r w:rsidR="00BE444C" w:rsidRPr="00627719">
        <w:rPr>
          <w:color w:val="000000"/>
        </w:rPr>
        <w:t>investigative steps</w:t>
      </w:r>
      <w:r w:rsidR="00BE444C" w:rsidRPr="00627719">
        <w:t xml:space="preserve"> indicated</w:t>
      </w:r>
      <w:r w:rsidR="00BE444C" w:rsidRPr="00627719">
        <w:rPr>
          <w:color w:val="000000"/>
        </w:rPr>
        <w:t xml:space="preserve"> above </w:t>
      </w:r>
      <w:r w:rsidR="00AE4434" w:rsidRPr="00627719">
        <w:t>had been carried out</w:t>
      </w:r>
      <w:r w:rsidR="00EE56EC" w:rsidRPr="00627719">
        <w:t xml:space="preserve">. </w:t>
      </w:r>
      <w:r w:rsidR="00641824" w:rsidRPr="00627719">
        <w:rPr>
          <w:lang w:val="en-GB"/>
        </w:rPr>
        <w:t>After</w:t>
      </w:r>
      <w:r w:rsidR="00641824" w:rsidRPr="00627719">
        <w:t xml:space="preserve"> that critical date the failure to conduct the necessary investigative actions persisted, thus, in accordance with the continuing obligation to investigate </w:t>
      </w:r>
      <w:r w:rsidR="00641824" w:rsidRPr="00627719">
        <w:rPr>
          <w:color w:val="000000"/>
          <w:lang w:val="en-GB"/>
        </w:rPr>
        <w:t xml:space="preserve">(see § </w:t>
      </w:r>
      <w:fldSimple w:instr=" REF _Ref342300077 \r \h  \* MERGEFORMAT ">
        <w:r w:rsidR="0062115B" w:rsidRPr="0062115B">
          <w:rPr>
            <w:color w:val="000000"/>
            <w:lang w:val="en-GB"/>
          </w:rPr>
          <w:t>57</w:t>
        </w:r>
      </w:fldSimple>
      <w:r w:rsidR="00641824" w:rsidRPr="00627719">
        <w:rPr>
          <w:color w:val="000000"/>
          <w:lang w:val="en-GB"/>
        </w:rPr>
        <w:t xml:space="preserve"> above)</w:t>
      </w:r>
      <w:r w:rsidR="00641824" w:rsidRPr="00627719">
        <w:t xml:space="preserve">, bringing the assessment of the whole investigation within the period </w:t>
      </w:r>
      <w:r w:rsidR="00641824" w:rsidRPr="00627719">
        <w:rPr>
          <w:color w:val="000000"/>
        </w:rPr>
        <w:t>of the Panel’s jurisdiction</w:t>
      </w:r>
      <w:r w:rsidR="007C502D" w:rsidRPr="00627719">
        <w:rPr>
          <w:color w:val="000000"/>
        </w:rPr>
        <w:t>.</w:t>
      </w:r>
    </w:p>
    <w:p w:rsidR="00D94FD5" w:rsidRPr="00627719" w:rsidRDefault="00D94FD5" w:rsidP="00EC64DD">
      <w:pPr>
        <w:pStyle w:val="ListParagraph"/>
        <w:tabs>
          <w:tab w:val="left" w:pos="360"/>
        </w:tabs>
        <w:ind w:left="360" w:hanging="360"/>
      </w:pPr>
    </w:p>
    <w:p w:rsidR="000D0C46" w:rsidRPr="00627719" w:rsidRDefault="000D0C46" w:rsidP="00EC64DD">
      <w:pPr>
        <w:pStyle w:val="ListParagraph"/>
        <w:numPr>
          <w:ilvl w:val="0"/>
          <w:numId w:val="5"/>
        </w:numPr>
        <w:tabs>
          <w:tab w:val="left" w:pos="360"/>
        </w:tabs>
        <w:autoSpaceDE w:val="0"/>
        <w:ind w:left="360"/>
        <w:contextualSpacing/>
        <w:jc w:val="both"/>
        <w:rPr>
          <w:color w:val="000000"/>
          <w:lang w:val="en-GB" w:eastAsia="en-US"/>
        </w:rPr>
      </w:pPr>
      <w:r w:rsidRPr="00627719">
        <w:rPr>
          <w:color w:val="000000"/>
        </w:rPr>
        <w:t xml:space="preserve">In addition, the Panel considers that, as those responsible for the crime had not been located, UNMIK was obligated to use the means at its disposal to regularly review the progress of the investigation to ensure that </w:t>
      </w:r>
      <w:r w:rsidR="00995F95" w:rsidRPr="00627719">
        <w:rPr>
          <w:color w:val="000000"/>
        </w:rPr>
        <w:t xml:space="preserve">nothing had been overlooked and any new </w:t>
      </w:r>
      <w:r w:rsidR="00AE4434" w:rsidRPr="00627719">
        <w:rPr>
          <w:color w:val="000000"/>
        </w:rPr>
        <w:t xml:space="preserve">evidence </w:t>
      </w:r>
      <w:r w:rsidR="00995F95" w:rsidRPr="00627719">
        <w:rPr>
          <w:color w:val="000000"/>
        </w:rPr>
        <w:t>had been considered</w:t>
      </w:r>
      <w:r w:rsidR="00AA5985" w:rsidRPr="00627719">
        <w:rPr>
          <w:color w:val="000000"/>
        </w:rPr>
        <w:t xml:space="preserve">, </w:t>
      </w:r>
      <w:r w:rsidRPr="00627719">
        <w:rPr>
          <w:color w:val="000000"/>
        </w:rPr>
        <w:t>as</w:t>
      </w:r>
      <w:r w:rsidRPr="00627719">
        <w:t xml:space="preserve"> well</w:t>
      </w:r>
      <w:r w:rsidRPr="00627719">
        <w:rPr>
          <w:b/>
          <w:color w:val="0000CC"/>
        </w:rPr>
        <w:t xml:space="preserve"> </w:t>
      </w:r>
      <w:r w:rsidRPr="00627719">
        <w:t>as to inform the relatives of</w:t>
      </w:r>
      <w:r w:rsidRPr="00627719">
        <w:rPr>
          <w:b/>
          <w:color w:val="0000CC"/>
        </w:rPr>
        <w:t xml:space="preserve"> </w:t>
      </w:r>
      <w:r w:rsidR="00BE444C" w:rsidRPr="00627719">
        <w:t>Zoran Vukićević</w:t>
      </w:r>
      <w:r w:rsidRPr="00627719">
        <w:rPr>
          <w:color w:val="000000"/>
        </w:rPr>
        <w:t xml:space="preserve"> regarding any possible new leads of enquiry.</w:t>
      </w:r>
      <w:r w:rsidR="00BE444C" w:rsidRPr="00627719">
        <w:rPr>
          <w:color w:val="000000"/>
        </w:rPr>
        <w:t xml:space="preserve"> </w:t>
      </w:r>
      <w:r w:rsidRPr="00627719">
        <w:rPr>
          <w:color w:val="000000"/>
        </w:rPr>
        <w:t xml:space="preserve">However, </w:t>
      </w:r>
      <w:r w:rsidR="00995F95" w:rsidRPr="00627719">
        <w:rPr>
          <w:color w:val="000000"/>
        </w:rPr>
        <w:t>there is no indication that any such review</w:t>
      </w:r>
      <w:r w:rsidRPr="00627719">
        <w:rPr>
          <w:color w:val="000000"/>
        </w:rPr>
        <w:t xml:space="preserve"> </w:t>
      </w:r>
      <w:r w:rsidR="009A1A66" w:rsidRPr="00627719">
        <w:rPr>
          <w:color w:val="000000"/>
        </w:rPr>
        <w:t xml:space="preserve">was ever </w:t>
      </w:r>
      <w:r w:rsidR="00995F95" w:rsidRPr="00627719">
        <w:rPr>
          <w:color w:val="000000"/>
        </w:rPr>
        <w:t>undertaken</w:t>
      </w:r>
      <w:r w:rsidR="009A1A66" w:rsidRPr="00627719">
        <w:rPr>
          <w:color w:val="000000"/>
        </w:rPr>
        <w:t>.</w:t>
      </w:r>
    </w:p>
    <w:p w:rsidR="004073C4" w:rsidRPr="00627719" w:rsidRDefault="004073C4" w:rsidP="00EC64DD">
      <w:pPr>
        <w:tabs>
          <w:tab w:val="left" w:pos="360"/>
        </w:tabs>
        <w:autoSpaceDE w:val="0"/>
        <w:ind w:left="360" w:hanging="360"/>
        <w:contextualSpacing/>
        <w:jc w:val="both"/>
        <w:rPr>
          <w:color w:val="000000"/>
          <w:lang w:val="en-GB"/>
        </w:rPr>
      </w:pPr>
    </w:p>
    <w:p w:rsidR="00DB2E6D" w:rsidRPr="00627719" w:rsidRDefault="00DB2E6D" w:rsidP="00DB2E6D">
      <w:pPr>
        <w:numPr>
          <w:ilvl w:val="0"/>
          <w:numId w:val="5"/>
        </w:numPr>
        <w:tabs>
          <w:tab w:val="left" w:pos="360"/>
        </w:tabs>
        <w:suppressAutoHyphens/>
        <w:autoSpaceDE w:val="0"/>
        <w:ind w:left="360"/>
        <w:contextualSpacing/>
        <w:jc w:val="both"/>
        <w:rPr>
          <w:lang w:val="en-GB"/>
        </w:rPr>
      </w:pPr>
      <w:r w:rsidRPr="00627719">
        <w:rPr>
          <w:bCs/>
          <w:lang w:val="en-GB"/>
        </w:rPr>
        <w:t>The apparent lack of any adequate reaction from UNMIK Police may have suggested to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w:t>
      </w:r>
    </w:p>
    <w:p w:rsidR="00B67EAB" w:rsidRPr="00627719" w:rsidRDefault="002649C2" w:rsidP="002649C2">
      <w:pPr>
        <w:pStyle w:val="ListParagraph"/>
        <w:tabs>
          <w:tab w:val="left" w:pos="1305"/>
        </w:tabs>
        <w:ind w:left="360" w:hanging="360"/>
      </w:pPr>
      <w:bookmarkStart w:id="26" w:name="_Ref342040362"/>
      <w:r w:rsidRPr="00627719">
        <w:tab/>
      </w:r>
    </w:p>
    <w:p w:rsidR="002649C2" w:rsidRPr="00627719" w:rsidRDefault="002649C2" w:rsidP="00BE444C">
      <w:pPr>
        <w:numPr>
          <w:ilvl w:val="0"/>
          <w:numId w:val="5"/>
        </w:numPr>
        <w:tabs>
          <w:tab w:val="left" w:pos="360"/>
        </w:tabs>
        <w:suppressAutoHyphens/>
        <w:autoSpaceDE w:val="0"/>
        <w:ind w:left="360"/>
        <w:jc w:val="both"/>
      </w:pPr>
      <w:r w:rsidRPr="00627719">
        <w:t xml:space="preserve">The Panel therefore considers that, having regard to all the circumstances of the particular case, not all reasonable steps were taken by UNMIK to identify the perpetrators and to bring them to justice. In this sense the Panel considers that the investigation was not adequate and did not comply with the requirements of promptness, expedition and effectiveness </w:t>
      </w:r>
      <w:r w:rsidR="00BE444C" w:rsidRPr="00627719">
        <w:t xml:space="preserve">(see § </w:t>
      </w:r>
      <w:fldSimple w:instr=" REF _Ref346724174 \r \h  \* MERGEFORMAT ">
        <w:r w:rsidR="0062115B">
          <w:t>55</w:t>
        </w:r>
      </w:fldSimple>
      <w:r w:rsidR="00BE444C" w:rsidRPr="00627719">
        <w:t xml:space="preserve"> above), </w:t>
      </w:r>
      <w:r w:rsidRPr="00627719">
        <w:t>as required by Article 2.</w:t>
      </w:r>
    </w:p>
    <w:p w:rsidR="002649C2" w:rsidRPr="00627719" w:rsidRDefault="002649C2" w:rsidP="002649C2">
      <w:pPr>
        <w:pStyle w:val="ListParagraph"/>
        <w:tabs>
          <w:tab w:val="left" w:pos="1305"/>
        </w:tabs>
        <w:ind w:left="360" w:hanging="360"/>
      </w:pPr>
    </w:p>
    <w:p w:rsidR="00F3542E" w:rsidRPr="00627719" w:rsidRDefault="00B67EAB" w:rsidP="00EC64DD">
      <w:pPr>
        <w:numPr>
          <w:ilvl w:val="0"/>
          <w:numId w:val="5"/>
        </w:numPr>
        <w:tabs>
          <w:tab w:val="left" w:pos="360"/>
        </w:tabs>
        <w:suppressAutoHyphens/>
        <w:autoSpaceDE w:val="0"/>
        <w:ind w:left="360"/>
        <w:jc w:val="both"/>
        <w:rPr>
          <w:color w:val="000000"/>
        </w:rPr>
      </w:pPr>
      <w:r w:rsidRPr="00627719">
        <w:t xml:space="preserve">As concerns the requirement of public scrutiny, the Panel recalls that Article 2 also requires the victim's next-of-kin to be involved in the investigation to the extent necessary to safeguard his or her legitimate interests. </w:t>
      </w:r>
      <w:r w:rsidRPr="00627719">
        <w:rPr>
          <w:color w:val="000000"/>
        </w:rPr>
        <w:t>In this regard</w:t>
      </w:r>
      <w:r w:rsidR="00A54F53" w:rsidRPr="00627719">
        <w:rPr>
          <w:lang w:val="en-GB"/>
        </w:rPr>
        <w:t xml:space="preserve">, the complainant claims that </w:t>
      </w:r>
      <w:r w:rsidR="00BE444C" w:rsidRPr="00627719">
        <w:rPr>
          <w:lang w:val="en-GB"/>
        </w:rPr>
        <w:t>s</w:t>
      </w:r>
      <w:r w:rsidR="00A54F53" w:rsidRPr="00627719">
        <w:rPr>
          <w:lang w:val="en-GB"/>
        </w:rPr>
        <w:t>he was never informed about the steps taken by the investigators.</w:t>
      </w:r>
      <w:r w:rsidRPr="00627719">
        <w:rPr>
          <w:color w:val="000000"/>
        </w:rPr>
        <w:t xml:space="preserve"> </w:t>
      </w:r>
      <w:r w:rsidR="00F3542E" w:rsidRPr="00627719">
        <w:rPr>
          <w:lang w:val="en-GB"/>
        </w:rPr>
        <w:t xml:space="preserve">The Panel notes that the complainant </w:t>
      </w:r>
      <w:r w:rsidR="00F3542E" w:rsidRPr="00627719">
        <w:t xml:space="preserve">only </w:t>
      </w:r>
      <w:r w:rsidR="00BE444C" w:rsidRPr="00627719">
        <w:t>received the body of her late husband,</w:t>
      </w:r>
      <w:r w:rsidR="00F3542E" w:rsidRPr="00627719">
        <w:t xml:space="preserve"> in </w:t>
      </w:r>
      <w:r w:rsidR="00BE444C" w:rsidRPr="00627719">
        <w:t>late December 1999</w:t>
      </w:r>
      <w:r w:rsidR="00F3542E" w:rsidRPr="00627719">
        <w:t>. As the Panel has already noted, no statement was ever taken from the complainant and no information was given to h</w:t>
      </w:r>
      <w:r w:rsidR="00F9009A" w:rsidRPr="00627719">
        <w:t>er</w:t>
      </w:r>
      <w:r w:rsidR="00F3542E" w:rsidRPr="00627719">
        <w:t xml:space="preserve"> concerning the status of the investigation</w:t>
      </w:r>
      <w:r w:rsidR="004D4694" w:rsidRPr="00627719">
        <w:t>.</w:t>
      </w:r>
    </w:p>
    <w:p w:rsidR="00A54F53" w:rsidRPr="00627719" w:rsidRDefault="00A54F53" w:rsidP="00EC64DD">
      <w:pPr>
        <w:pStyle w:val="ListParagraph"/>
        <w:tabs>
          <w:tab w:val="left" w:pos="360"/>
        </w:tabs>
        <w:ind w:left="360" w:hanging="360"/>
        <w:rPr>
          <w:lang w:val="en-GB"/>
        </w:rPr>
      </w:pPr>
    </w:p>
    <w:p w:rsidR="00B67EAB" w:rsidRPr="00627719" w:rsidRDefault="00A54F53" w:rsidP="003D4315">
      <w:pPr>
        <w:numPr>
          <w:ilvl w:val="0"/>
          <w:numId w:val="5"/>
        </w:numPr>
        <w:tabs>
          <w:tab w:val="left" w:pos="360"/>
        </w:tabs>
        <w:suppressAutoHyphens/>
        <w:autoSpaceDE w:val="0"/>
        <w:ind w:left="360"/>
        <w:jc w:val="both"/>
      </w:pPr>
      <w:r w:rsidRPr="00627719">
        <w:t>The Pan</w:t>
      </w:r>
      <w:r w:rsidR="00C67939" w:rsidRPr="00627719">
        <w:t>el understands the complainant’s</w:t>
      </w:r>
      <w:r w:rsidRPr="00627719">
        <w:t xml:space="preserve"> view that the extent of the information received was unsatisfactory. The Panel is also aware that in all cases, the victim’s next-of-kin must be involved in the procedure to the extent necessary to safeguard his or her legitimate interest (see ECtHR</w:t>
      </w:r>
      <w:r w:rsidR="000F013A" w:rsidRPr="00627719">
        <w:t xml:space="preserve"> [GC]</w:t>
      </w:r>
      <w:r w:rsidRPr="00627719">
        <w:t xml:space="preserve">, </w:t>
      </w:r>
      <w:r w:rsidRPr="00627719">
        <w:rPr>
          <w:i/>
        </w:rPr>
        <w:t>Tahsin Acar v Turkey</w:t>
      </w:r>
      <w:r w:rsidRPr="00627719">
        <w:t>, no. 26307/95, judgment of 8 April 2004</w:t>
      </w:r>
      <w:r w:rsidR="000F013A" w:rsidRPr="00627719">
        <w:t>, § 226, ECHR 2004-III</w:t>
      </w:r>
      <w:r w:rsidRPr="00627719">
        <w:t xml:space="preserve">; </w:t>
      </w:r>
      <w:r w:rsidR="000F013A" w:rsidRPr="00627719">
        <w:t xml:space="preserve">ECtHR, </w:t>
      </w:r>
      <w:r w:rsidRPr="00627719">
        <w:rPr>
          <w:i/>
        </w:rPr>
        <w:t>Taniş v Turkey</w:t>
      </w:r>
      <w:r w:rsidRPr="00627719">
        <w:t>, no. 65899/01, judgment of 2 August 2005, § 204</w:t>
      </w:r>
      <w:r w:rsidR="000F013A" w:rsidRPr="00627719">
        <w:t>, ECHR 2005-VIII</w:t>
      </w:r>
      <w:r w:rsidRPr="00627719">
        <w:t>).</w:t>
      </w:r>
      <w:r w:rsidR="00B67EAB" w:rsidRPr="00627719">
        <w:t xml:space="preserve"> The Panel therefore considers that the investigation was not accessible to the complainant’s family as required by Article 2.</w:t>
      </w:r>
    </w:p>
    <w:p w:rsidR="00B67EAB" w:rsidRPr="00627719" w:rsidRDefault="00B67EAB" w:rsidP="00EC64DD">
      <w:pPr>
        <w:tabs>
          <w:tab w:val="left" w:pos="360"/>
        </w:tabs>
        <w:suppressAutoHyphens/>
        <w:autoSpaceDE w:val="0"/>
        <w:autoSpaceDN w:val="0"/>
        <w:adjustRightInd w:val="0"/>
        <w:ind w:left="360" w:hanging="360"/>
        <w:contextualSpacing/>
        <w:jc w:val="both"/>
        <w:rPr>
          <w:color w:val="000000"/>
          <w:lang w:val="en-GB"/>
        </w:rPr>
      </w:pPr>
    </w:p>
    <w:p w:rsidR="00B67EAB" w:rsidRPr="00627719" w:rsidRDefault="00B67EAB" w:rsidP="00EC64DD">
      <w:pPr>
        <w:numPr>
          <w:ilvl w:val="0"/>
          <w:numId w:val="5"/>
        </w:numPr>
        <w:tabs>
          <w:tab w:val="left" w:pos="360"/>
          <w:tab w:val="num" w:pos="450"/>
        </w:tabs>
        <w:autoSpaceDE w:val="0"/>
        <w:ind w:left="360"/>
        <w:contextualSpacing/>
        <w:jc w:val="both"/>
        <w:rPr>
          <w:color w:val="000000"/>
          <w:lang w:val="en-GB"/>
        </w:rPr>
      </w:pPr>
      <w:r w:rsidRPr="00627719">
        <w:rPr>
          <w:color w:val="000000"/>
        </w:rPr>
        <w:t xml:space="preserve">In light of the deficiencies and shortcomings as described above, the Panel </w:t>
      </w:r>
      <w:r w:rsidRPr="00627719">
        <w:t>concludes</w:t>
      </w:r>
      <w:r w:rsidRPr="00627719">
        <w:rPr>
          <w:color w:val="000000"/>
        </w:rPr>
        <w:t xml:space="preserve"> </w:t>
      </w:r>
      <w:r w:rsidR="00060347" w:rsidRPr="00627719">
        <w:rPr>
          <w:color w:val="000000"/>
        </w:rPr>
        <w:t xml:space="preserve">that UNMIK failed to carry out an adequate and effective investigation into the </w:t>
      </w:r>
      <w:r w:rsidR="00060347" w:rsidRPr="00627719">
        <w:t>circumstances surrounding the armed attack of 17 December 1999, as a result of which the complainant’s husband was killed</w:t>
      </w:r>
      <w:r w:rsidRPr="00627719">
        <w:rPr>
          <w:color w:val="000000"/>
        </w:rPr>
        <w:t>. There has been accordingly a vio</w:t>
      </w:r>
      <w:r w:rsidR="00C67939" w:rsidRPr="00627719">
        <w:rPr>
          <w:color w:val="000000"/>
        </w:rPr>
        <w:t>lation of Article 2</w:t>
      </w:r>
      <w:r w:rsidR="003D4315" w:rsidRPr="00627719">
        <w:rPr>
          <w:color w:val="000000"/>
        </w:rPr>
        <w:t>,</w:t>
      </w:r>
      <w:r w:rsidR="00C67939" w:rsidRPr="00627719">
        <w:rPr>
          <w:color w:val="000000"/>
        </w:rPr>
        <w:t xml:space="preserve"> </w:t>
      </w:r>
      <w:r w:rsidR="003D4315" w:rsidRPr="00627719">
        <w:rPr>
          <w:color w:val="000000"/>
        </w:rPr>
        <w:t>procedural limb, of the ECHR.</w:t>
      </w:r>
    </w:p>
    <w:bookmarkEnd w:id="26"/>
    <w:p w:rsidR="009A1A66" w:rsidRPr="00627719" w:rsidRDefault="009A1A66" w:rsidP="00627719">
      <w:pPr>
        <w:rPr>
          <w:bCs/>
        </w:rPr>
      </w:pPr>
    </w:p>
    <w:p w:rsidR="00F9009A" w:rsidRPr="00627719" w:rsidRDefault="00F9009A" w:rsidP="00EC64DD">
      <w:pPr>
        <w:tabs>
          <w:tab w:val="left" w:pos="360"/>
        </w:tabs>
        <w:autoSpaceDE w:val="0"/>
        <w:autoSpaceDN w:val="0"/>
        <w:adjustRightInd w:val="0"/>
        <w:ind w:left="360" w:hanging="360"/>
        <w:jc w:val="both"/>
        <w:rPr>
          <w:bCs/>
        </w:rPr>
      </w:pPr>
    </w:p>
    <w:p w:rsidR="00BE6FAD" w:rsidRPr="00627719" w:rsidRDefault="00BE6FAD" w:rsidP="00EC64DD">
      <w:pPr>
        <w:tabs>
          <w:tab w:val="left" w:pos="360"/>
        </w:tabs>
        <w:ind w:left="360" w:hanging="360"/>
        <w:rPr>
          <w:b/>
        </w:rPr>
      </w:pPr>
      <w:r w:rsidRPr="00627719">
        <w:rPr>
          <w:b/>
        </w:rPr>
        <w:t>V. CONCLUDING COMMENTS AND RECOMMENDATIONS</w:t>
      </w:r>
    </w:p>
    <w:p w:rsidR="00BE6FAD" w:rsidRPr="00627719" w:rsidRDefault="00BE6FAD" w:rsidP="00EC64DD">
      <w:pPr>
        <w:pStyle w:val="ListParagraph"/>
        <w:tabs>
          <w:tab w:val="left" w:pos="360"/>
        </w:tabs>
        <w:ind w:left="360" w:hanging="360"/>
      </w:pPr>
    </w:p>
    <w:p w:rsidR="00BE6FAD" w:rsidRPr="00627719" w:rsidRDefault="00BE6FAD" w:rsidP="00EC64DD">
      <w:pPr>
        <w:numPr>
          <w:ilvl w:val="0"/>
          <w:numId w:val="5"/>
        </w:numPr>
        <w:tabs>
          <w:tab w:val="left" w:pos="360"/>
          <w:tab w:val="num" w:pos="450"/>
        </w:tabs>
        <w:suppressAutoHyphens/>
        <w:autoSpaceDE w:val="0"/>
        <w:ind w:left="360"/>
        <w:jc w:val="both"/>
        <w:rPr>
          <w:b/>
          <w:bCs/>
        </w:rPr>
      </w:pPr>
      <w:r w:rsidRPr="00627719">
        <w:t xml:space="preserve">In </w:t>
      </w:r>
      <w:r w:rsidRPr="00627719">
        <w:rPr>
          <w:lang w:val="en-GB"/>
        </w:rPr>
        <w:t>light</w:t>
      </w:r>
      <w:r w:rsidRPr="00627719">
        <w:t xml:space="preserve"> of the Panel’s findings in this case, the Panel is of the opinion that some form of </w:t>
      </w:r>
      <w:r w:rsidRPr="00627719">
        <w:rPr>
          <w:bCs/>
        </w:rPr>
        <w:t>reparation</w:t>
      </w:r>
      <w:r w:rsidRPr="00627719">
        <w:t xml:space="preserve"> is necessary.</w:t>
      </w:r>
    </w:p>
    <w:p w:rsidR="00BE6FAD" w:rsidRPr="00627719" w:rsidRDefault="00BE6FAD" w:rsidP="00EC64DD">
      <w:pPr>
        <w:pStyle w:val="ListParagraph"/>
        <w:tabs>
          <w:tab w:val="left" w:pos="360"/>
        </w:tabs>
        <w:ind w:left="360" w:hanging="360"/>
      </w:pPr>
    </w:p>
    <w:p w:rsidR="00BE6FAD" w:rsidRPr="00627719" w:rsidRDefault="00BE6FAD" w:rsidP="00EC64DD">
      <w:pPr>
        <w:numPr>
          <w:ilvl w:val="0"/>
          <w:numId w:val="5"/>
        </w:numPr>
        <w:tabs>
          <w:tab w:val="left" w:pos="360"/>
          <w:tab w:val="num" w:pos="450"/>
        </w:tabs>
        <w:suppressAutoHyphens/>
        <w:autoSpaceDE w:val="0"/>
        <w:ind w:left="360"/>
        <w:jc w:val="both"/>
        <w:rPr>
          <w:b/>
          <w:bCs/>
        </w:rPr>
      </w:pPr>
      <w:r w:rsidRPr="00627719">
        <w:t xml:space="preserve">The Panel notes that enforced disappearances and arbitrary killings constitute serious violations of human rights which the competent authorities are under an obligation to investigate and to bring perpetrators to justice under all circumstances. The Panel also notes that pursuant to United Nations Security Council Resolution 1244 (1999) UNMIK from 1999 to 2008 had the primary responsibility to effectively investigate and prosecute the </w:t>
      </w:r>
      <w:r w:rsidR="00F9009A" w:rsidRPr="00627719">
        <w:t>armed attack of 17 December 1999, as a result of which Zoran Vukićević was killed,</w:t>
      </w:r>
      <w:r w:rsidRPr="00627719">
        <w:t xml:space="preserve"> and that its failure to do so </w:t>
      </w:r>
      <w:r w:rsidRPr="00627719">
        <w:rPr>
          <w:bCs/>
        </w:rPr>
        <w:t>constitutes</w:t>
      </w:r>
      <w:r w:rsidRPr="00627719">
        <w:t xml:space="preserve"> a further serious violation of the human rights of the victim and hi</w:t>
      </w:r>
      <w:r w:rsidR="00A16C77" w:rsidRPr="00627719">
        <w:t>s</w:t>
      </w:r>
      <w:r w:rsidRPr="00627719">
        <w:t xml:space="preserve"> next-of-kin, in particular the right to have the </w:t>
      </w:r>
      <w:r w:rsidR="00A16C77" w:rsidRPr="00627719">
        <w:t>truth of the matter determined.</w:t>
      </w:r>
    </w:p>
    <w:p w:rsidR="00BE6FAD" w:rsidRPr="00627719" w:rsidRDefault="00BE6FAD" w:rsidP="00EC64DD">
      <w:pPr>
        <w:pStyle w:val="ListParagraph"/>
        <w:tabs>
          <w:tab w:val="left" w:pos="360"/>
        </w:tabs>
        <w:ind w:left="360" w:hanging="360"/>
        <w:rPr>
          <w:b/>
          <w:bCs/>
        </w:rPr>
      </w:pPr>
    </w:p>
    <w:p w:rsidR="00BE6FAD" w:rsidRPr="00627719" w:rsidRDefault="00BE6FAD" w:rsidP="00EC64DD">
      <w:pPr>
        <w:numPr>
          <w:ilvl w:val="0"/>
          <w:numId w:val="5"/>
        </w:numPr>
        <w:tabs>
          <w:tab w:val="left" w:pos="360"/>
          <w:tab w:val="num" w:pos="450"/>
        </w:tabs>
        <w:suppressAutoHyphens/>
        <w:autoSpaceDE w:val="0"/>
        <w:ind w:left="360"/>
        <w:jc w:val="both"/>
        <w:rPr>
          <w:bCs/>
        </w:rPr>
      </w:pPr>
      <w:r w:rsidRPr="00627719">
        <w:rPr>
          <w:bCs/>
        </w:rPr>
        <w:t>The Panel notes the SRSG’s own concerns that the inadequate resources, especially at the outset of UNMIK’s mission, made compliance with UNMIK’s human rights obligations difficult to achieve.</w:t>
      </w:r>
    </w:p>
    <w:p w:rsidR="00BE6FAD" w:rsidRPr="00627719" w:rsidRDefault="00BE6FAD" w:rsidP="00EC64DD">
      <w:pPr>
        <w:pStyle w:val="ListParagraph"/>
        <w:tabs>
          <w:tab w:val="left" w:pos="360"/>
        </w:tabs>
        <w:ind w:left="360" w:hanging="360"/>
      </w:pPr>
    </w:p>
    <w:p w:rsidR="00BE6FAD" w:rsidRPr="00627719" w:rsidRDefault="00BE6FAD" w:rsidP="00EC64DD">
      <w:pPr>
        <w:numPr>
          <w:ilvl w:val="0"/>
          <w:numId w:val="5"/>
        </w:numPr>
        <w:tabs>
          <w:tab w:val="left" w:pos="360"/>
          <w:tab w:val="num" w:pos="450"/>
        </w:tabs>
        <w:suppressAutoHyphens/>
        <w:autoSpaceDE w:val="0"/>
        <w:ind w:left="360"/>
        <w:jc w:val="both"/>
        <w:rPr>
          <w:b/>
          <w:bCs/>
        </w:rPr>
      </w:pPr>
      <w:r w:rsidRPr="00627719">
        <w:t xml:space="preserve">It would normally be for UNMIK to take the appropriate measures in order to put an end to the </w:t>
      </w:r>
      <w:r w:rsidRPr="00627719">
        <w:rPr>
          <w:bCs/>
        </w:rPr>
        <w:t>violation</w:t>
      </w:r>
      <w:r w:rsidRPr="00627719">
        <w:t xml:space="preserve"> noted and to redress as far as possible the effects thereof. However, as the Panel noted above (see §</w:t>
      </w:r>
      <w:r w:rsidR="005D19AD" w:rsidRPr="00627719">
        <w:t xml:space="preserve"> </w:t>
      </w:r>
      <w:fldSimple w:instr=" REF _Ref346123927 \r \h  \* MERGEFORMAT ">
        <w:r w:rsidR="0062115B">
          <w:t>18</w:t>
        </w:r>
      </w:fldSimple>
      <w:r w:rsidRPr="00627719">
        <w:t xml:space="preserve">) UNMIK’s  responsibility with regard to </w:t>
      </w:r>
      <w:r w:rsidRPr="00627719">
        <w:rPr>
          <w:bCs/>
        </w:rPr>
        <w:t>the</w:t>
      </w:r>
      <w:r w:rsidRPr="00627719">
        <w:t xml:space="preserve"> administration of justice in Kosovo ended on 9 December 2008, with EULEX assuming full operational control in the area of rule of law.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w:t>
      </w:r>
      <w:r w:rsidR="00C91DB9" w:rsidRPr="00627719">
        <w:t>nternational human rights law.</w:t>
      </w:r>
    </w:p>
    <w:p w:rsidR="00BE6FAD" w:rsidRPr="00627719" w:rsidRDefault="00BE6FAD" w:rsidP="00EC64DD">
      <w:pPr>
        <w:pStyle w:val="ListParagraph"/>
        <w:tabs>
          <w:tab w:val="left" w:pos="360"/>
        </w:tabs>
        <w:ind w:left="360" w:hanging="360"/>
      </w:pPr>
    </w:p>
    <w:p w:rsidR="00BE6FAD" w:rsidRPr="00627719" w:rsidRDefault="00BE6FAD" w:rsidP="00EC64DD">
      <w:pPr>
        <w:numPr>
          <w:ilvl w:val="0"/>
          <w:numId w:val="5"/>
        </w:numPr>
        <w:tabs>
          <w:tab w:val="left" w:pos="360"/>
          <w:tab w:val="num" w:pos="450"/>
        </w:tabs>
        <w:suppressAutoHyphens/>
        <w:autoSpaceDE w:val="0"/>
        <w:ind w:left="360"/>
        <w:jc w:val="both"/>
        <w:rPr>
          <w:b/>
          <w:bCs/>
        </w:rPr>
      </w:pPr>
      <w:r w:rsidRPr="00627719">
        <w:t xml:space="preserve">The Panel considers that this factual situation does not relieve UNMIK from its </w:t>
      </w:r>
      <w:r w:rsidRPr="00627719">
        <w:rPr>
          <w:bCs/>
        </w:rPr>
        <w:t>obligation</w:t>
      </w:r>
      <w:r w:rsidRPr="00627719">
        <w:t xml:space="preserve"> to </w:t>
      </w:r>
      <w:r w:rsidRPr="00627719">
        <w:rPr>
          <w:bCs/>
        </w:rPr>
        <w:t>redress</w:t>
      </w:r>
      <w:r w:rsidRPr="00627719">
        <w:t xml:space="preserve"> as far as possible the effects of the violations for which it is responsible.</w:t>
      </w:r>
    </w:p>
    <w:p w:rsidR="00BE6FAD" w:rsidRPr="00627719" w:rsidRDefault="00BE6FAD" w:rsidP="00BE6FAD">
      <w:pPr>
        <w:suppressAutoHyphens/>
        <w:autoSpaceDE w:val="0"/>
        <w:ind w:left="450"/>
        <w:jc w:val="both"/>
        <w:rPr>
          <w:b/>
          <w:bCs/>
        </w:rPr>
      </w:pPr>
    </w:p>
    <w:p w:rsidR="00BE6FAD" w:rsidRPr="00627719" w:rsidRDefault="00C42B65" w:rsidP="00BE6FAD">
      <w:pPr>
        <w:suppressAutoHyphens/>
        <w:autoSpaceDE w:val="0"/>
        <w:ind w:left="450"/>
        <w:jc w:val="both"/>
        <w:rPr>
          <w:b/>
          <w:bCs/>
        </w:rPr>
      </w:pPr>
      <w:r w:rsidRPr="00627719">
        <w:rPr>
          <w:b/>
          <w:bCs/>
        </w:rPr>
        <w:t>With respect to the complainant</w:t>
      </w:r>
      <w:r w:rsidR="00BE6FAD" w:rsidRPr="00627719">
        <w:rPr>
          <w:b/>
          <w:bCs/>
        </w:rPr>
        <w:t xml:space="preserve"> and the case the Panel considers </w:t>
      </w:r>
      <w:r w:rsidR="00641824" w:rsidRPr="00627719">
        <w:rPr>
          <w:b/>
          <w:bCs/>
        </w:rPr>
        <w:t xml:space="preserve">it </w:t>
      </w:r>
      <w:r w:rsidR="00BE6FAD" w:rsidRPr="00627719">
        <w:rPr>
          <w:b/>
          <w:bCs/>
        </w:rPr>
        <w:t>appropriate that UNMIK:</w:t>
      </w:r>
    </w:p>
    <w:p w:rsidR="00BE6FAD" w:rsidRPr="00627719" w:rsidRDefault="00BE6FAD" w:rsidP="00BE6FAD">
      <w:pPr>
        <w:pStyle w:val="ListParagraph"/>
        <w:rPr>
          <w:b/>
          <w:bCs/>
        </w:rPr>
      </w:pPr>
    </w:p>
    <w:p w:rsidR="00BE6FAD" w:rsidRPr="00627719" w:rsidRDefault="00BE6FAD" w:rsidP="00EC64DD">
      <w:pPr>
        <w:pStyle w:val="ListParagraph"/>
        <w:numPr>
          <w:ilvl w:val="2"/>
          <w:numId w:val="38"/>
        </w:numPr>
        <w:autoSpaceDE w:val="0"/>
        <w:ind w:left="720" w:hanging="270"/>
        <w:contextualSpacing/>
        <w:jc w:val="both"/>
        <w:rPr>
          <w:b/>
          <w:bCs/>
        </w:rPr>
      </w:pPr>
      <w:r w:rsidRPr="00627719">
        <w:t xml:space="preserve">In line with the </w:t>
      </w:r>
      <w:r w:rsidR="00E4269E" w:rsidRPr="00627719">
        <w:t>case-law</w:t>
      </w:r>
      <w:r w:rsidRPr="00627719">
        <w:t xml:space="preserve"> of the European Court of Human Rights on situations of limited State jurisdiction (see ECtHR </w:t>
      </w:r>
      <w:r w:rsidR="00AD46F6" w:rsidRPr="00627719">
        <w:t>[GC]</w:t>
      </w:r>
      <w:r w:rsidRPr="00627719">
        <w:t xml:space="preserve">, </w:t>
      </w:r>
      <w:r w:rsidRPr="00627719">
        <w:rPr>
          <w:i/>
        </w:rPr>
        <w:t>Ilaşcu and Others v. Moldova and Russia</w:t>
      </w:r>
      <w:r w:rsidRPr="00627719">
        <w:t xml:space="preserve">, no. 48787/99, judgment of 8 July 2004, </w:t>
      </w:r>
      <w:r w:rsidR="00AD46F6" w:rsidRPr="00627719">
        <w:t xml:space="preserve">§ 333, </w:t>
      </w:r>
      <w:r w:rsidRPr="00627719">
        <w:t>ECHR 2004-</w:t>
      </w:r>
      <w:r w:rsidR="00AD46F6" w:rsidRPr="00627719">
        <w:t>VII</w:t>
      </w:r>
      <w:r w:rsidRPr="00627719">
        <w:t xml:space="preserve">; ECtHR, </w:t>
      </w:r>
      <w:r w:rsidRPr="00627719">
        <w:rPr>
          <w:i/>
        </w:rPr>
        <w:t xml:space="preserve">Al-Saadoon and Mufdhi v. </w:t>
      </w:r>
      <w:r w:rsidR="00AD46F6" w:rsidRPr="00627719">
        <w:rPr>
          <w:i/>
        </w:rPr>
        <w:t xml:space="preserve">the </w:t>
      </w:r>
      <w:r w:rsidRPr="00627719">
        <w:rPr>
          <w:i/>
        </w:rPr>
        <w:t>United Kingdom</w:t>
      </w:r>
      <w:r w:rsidRPr="00627719">
        <w:t>, no. 61498/08, judgment of 2 March 2010, § 171</w:t>
      </w:r>
      <w:r w:rsidR="00AD46F6" w:rsidRPr="00627719">
        <w:t>, ECHR 2010 (extracts)</w:t>
      </w:r>
      <w:r w:rsidRPr="00627719">
        <w:t xml:space="preserve">; ECtHR </w:t>
      </w:r>
      <w:r w:rsidR="00AD46F6" w:rsidRPr="00627719">
        <w:t>[GC]</w:t>
      </w:r>
      <w:r w:rsidRPr="00627719">
        <w:t xml:space="preserve">, </w:t>
      </w:r>
      <w:r w:rsidRPr="00627719">
        <w:rPr>
          <w:i/>
        </w:rPr>
        <w:t xml:space="preserve">Catan and Others v. </w:t>
      </w:r>
      <w:r w:rsidR="00AD46F6" w:rsidRPr="00627719">
        <w:rPr>
          <w:i/>
        </w:rPr>
        <w:t xml:space="preserve">Republic of </w:t>
      </w:r>
      <w:r w:rsidRPr="00627719">
        <w:rPr>
          <w:i/>
        </w:rPr>
        <w:t>Moldova and Russia</w:t>
      </w:r>
      <w:r w:rsidR="00AD46F6" w:rsidRPr="00627719">
        <w:rPr>
          <w:i/>
        </w:rPr>
        <w:t xml:space="preserve"> </w:t>
      </w:r>
      <w:r w:rsidR="00AD46F6" w:rsidRPr="00627719">
        <w:t>[GC]</w:t>
      </w:r>
      <w:r w:rsidRPr="00627719">
        <w:t>, nos. 43370/04</w:t>
      </w:r>
      <w:r w:rsidR="00AD46F6" w:rsidRPr="00627719">
        <w:t xml:space="preserve"> and others,</w:t>
      </w:r>
      <w:r w:rsidRPr="00627719">
        <w:t xml:space="preserve"> judgment of 19 October 2012, § 109), must endeavour, with all the diplomatic means available to it </w:t>
      </w:r>
      <w:r w:rsidRPr="00627719">
        <w:rPr>
          <w:i/>
        </w:rPr>
        <w:t>vis-à-vis</w:t>
      </w:r>
      <w:r w:rsidRPr="00627719">
        <w:t xml:space="preserve"> EULEX and the Kosovo authorities, to obtain assurances that the investigations concerning the case at issue will be continued in compliance with the requirements of an effective investigation as envisaged by Article 2, that the circumstances surrounding </w:t>
      </w:r>
      <w:r w:rsidR="00F9009A" w:rsidRPr="00627719">
        <w:t>the armed attack of 17 December 1999, as a result of which the complainant’s husband was killed,</w:t>
      </w:r>
      <w:r w:rsidRPr="00627719">
        <w:t xml:space="preserve"> will be established and that perpetrators will be brought to justice; the complainant and/or other next-of-kin shall be informed of such proceedings and relevant documents shall be disclosed to them, as necessary;</w:t>
      </w:r>
    </w:p>
    <w:p w:rsidR="00BE6FAD" w:rsidRPr="00627719" w:rsidRDefault="00BE6FAD" w:rsidP="00BE6FAD">
      <w:pPr>
        <w:suppressAutoHyphens/>
        <w:autoSpaceDE w:val="0"/>
        <w:jc w:val="both"/>
        <w:rPr>
          <w:b/>
          <w:bCs/>
        </w:rPr>
      </w:pPr>
    </w:p>
    <w:p w:rsidR="00BE6FAD" w:rsidRPr="00627719" w:rsidRDefault="00BE6FAD" w:rsidP="00EC64DD">
      <w:pPr>
        <w:pStyle w:val="ListParagraph"/>
        <w:numPr>
          <w:ilvl w:val="2"/>
          <w:numId w:val="38"/>
        </w:numPr>
        <w:autoSpaceDE w:val="0"/>
        <w:ind w:left="720" w:hanging="270"/>
        <w:contextualSpacing/>
        <w:jc w:val="both"/>
        <w:rPr>
          <w:bCs/>
        </w:rPr>
      </w:pPr>
      <w:r w:rsidRPr="00627719">
        <w:rPr>
          <w:bCs/>
        </w:rPr>
        <w:t xml:space="preserve">Publicly acknowledges, within a reasonable time, responsibility with respect to UNMIK’s </w:t>
      </w:r>
      <w:r w:rsidRPr="00627719">
        <w:t>failure</w:t>
      </w:r>
      <w:r w:rsidRPr="00627719">
        <w:rPr>
          <w:bCs/>
        </w:rPr>
        <w:t xml:space="preserve"> to adequately investigate </w:t>
      </w:r>
      <w:r w:rsidR="00F9009A" w:rsidRPr="00627719">
        <w:t>the armed attack of 17 December 1999, as a result of which Zoran Vukićević was killed,</w:t>
      </w:r>
      <w:r w:rsidR="00F9009A" w:rsidRPr="00627719">
        <w:rPr>
          <w:bCs/>
        </w:rPr>
        <w:t xml:space="preserve"> </w:t>
      </w:r>
      <w:r w:rsidRPr="00627719">
        <w:rPr>
          <w:bCs/>
        </w:rPr>
        <w:t xml:space="preserve">and makes a public apology to the complainant and her family in this regard; </w:t>
      </w:r>
    </w:p>
    <w:p w:rsidR="00BE6FAD" w:rsidRPr="00627719" w:rsidRDefault="00BE6FAD" w:rsidP="00BE6FAD">
      <w:pPr>
        <w:suppressAutoHyphens/>
        <w:autoSpaceDE w:val="0"/>
        <w:jc w:val="both"/>
        <w:rPr>
          <w:bCs/>
        </w:rPr>
      </w:pPr>
    </w:p>
    <w:p w:rsidR="00BE6FAD" w:rsidRPr="00627719" w:rsidRDefault="00BE6FAD" w:rsidP="00EC64DD">
      <w:pPr>
        <w:pStyle w:val="ListParagraph"/>
        <w:numPr>
          <w:ilvl w:val="2"/>
          <w:numId w:val="38"/>
        </w:numPr>
        <w:autoSpaceDE w:val="0"/>
        <w:ind w:left="720" w:hanging="270"/>
        <w:contextualSpacing/>
        <w:jc w:val="both"/>
        <w:rPr>
          <w:bCs/>
        </w:rPr>
      </w:pPr>
      <w:r w:rsidRPr="00627719">
        <w:rPr>
          <w:bCs/>
        </w:rPr>
        <w:t>Takes appropriate steps towards payment of adequate compensation of the complainant for the mo</w:t>
      </w:r>
      <w:r w:rsidRPr="00627719">
        <w:t>r</w:t>
      </w:r>
      <w:r w:rsidRPr="00627719">
        <w:rPr>
          <w:bCs/>
        </w:rPr>
        <w:t>al damage suffered due to UNMIK’s failure to conduct an effective investigation as stated above.</w:t>
      </w:r>
    </w:p>
    <w:p w:rsidR="00BE6FAD" w:rsidRPr="00627719" w:rsidRDefault="00BE6FAD" w:rsidP="00BE6FAD">
      <w:pPr>
        <w:pStyle w:val="ListParagraph"/>
        <w:ind w:left="450"/>
        <w:rPr>
          <w:b/>
          <w:bCs/>
        </w:rPr>
      </w:pPr>
    </w:p>
    <w:p w:rsidR="00BE6FAD" w:rsidRPr="00627719" w:rsidRDefault="00BE6FAD" w:rsidP="00BE6FAD">
      <w:pPr>
        <w:suppressAutoHyphens/>
        <w:autoSpaceDE w:val="0"/>
        <w:ind w:left="450"/>
        <w:jc w:val="both"/>
        <w:rPr>
          <w:b/>
          <w:bCs/>
        </w:rPr>
      </w:pPr>
      <w:r w:rsidRPr="00627719">
        <w:rPr>
          <w:b/>
          <w:bCs/>
        </w:rPr>
        <w:t xml:space="preserve">The Panel also considers </w:t>
      </w:r>
      <w:r w:rsidR="00641824" w:rsidRPr="00627719">
        <w:rPr>
          <w:b/>
          <w:bCs/>
        </w:rPr>
        <w:t xml:space="preserve">it </w:t>
      </w:r>
      <w:r w:rsidRPr="00627719">
        <w:rPr>
          <w:b/>
          <w:bCs/>
        </w:rPr>
        <w:t>appropriate that UNMIK:</w:t>
      </w:r>
    </w:p>
    <w:p w:rsidR="00BE6FAD" w:rsidRPr="00627719" w:rsidRDefault="00BE6FAD" w:rsidP="00BE6FAD"/>
    <w:p w:rsidR="00BE6FAD" w:rsidRPr="00627719" w:rsidRDefault="00BE6FAD" w:rsidP="00EC64DD">
      <w:pPr>
        <w:pStyle w:val="ListParagraph"/>
        <w:numPr>
          <w:ilvl w:val="2"/>
          <w:numId w:val="38"/>
        </w:numPr>
        <w:autoSpaceDE w:val="0"/>
        <w:ind w:left="720" w:hanging="270"/>
        <w:contextualSpacing/>
        <w:jc w:val="both"/>
      </w:pPr>
      <w:r w:rsidRPr="00627719">
        <w:t xml:space="preserve">In line with the UN General Assembly Resolution on “Basic Principles and Guidelines on the Right to a Remedy and Reparation for Victims of Gross Violations of </w:t>
      </w:r>
      <w:r w:rsidRPr="00627719">
        <w:rPr>
          <w:bCs/>
        </w:rPr>
        <w:t>International</w:t>
      </w:r>
      <w:r w:rsidRPr="00627719">
        <w:t xml:space="preserve"> Human Rights Law and Serious Violations of International Humanitarian Law” (A/Res/60/147,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2E28B8" w:rsidRPr="00627719" w:rsidRDefault="002E28B8" w:rsidP="002E28B8">
      <w:pPr>
        <w:pStyle w:val="ListParagraph"/>
      </w:pPr>
    </w:p>
    <w:p w:rsidR="00BE6FAD" w:rsidRPr="00627719" w:rsidRDefault="00BE6FAD" w:rsidP="00EC64DD">
      <w:pPr>
        <w:pStyle w:val="ListParagraph"/>
        <w:numPr>
          <w:ilvl w:val="2"/>
          <w:numId w:val="38"/>
        </w:numPr>
        <w:autoSpaceDE w:val="0"/>
        <w:ind w:left="720" w:hanging="270"/>
        <w:contextualSpacing/>
        <w:jc w:val="both"/>
      </w:pPr>
      <w:r w:rsidRPr="00627719">
        <w:t xml:space="preserve">Takes appropriate steps before competent bodies of the United Nations, including the UN </w:t>
      </w:r>
      <w:r w:rsidRPr="00627719">
        <w:rPr>
          <w:bCs/>
        </w:rPr>
        <w:t>Secretary</w:t>
      </w:r>
      <w:r w:rsidRPr="00627719">
        <w:t>-General,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w:t>
      </w:r>
      <w:r w:rsidR="00074F08" w:rsidRPr="00627719">
        <w:t>tive and independent monitoring.</w:t>
      </w:r>
    </w:p>
    <w:p w:rsidR="00BE6FAD" w:rsidRDefault="00BE6FAD" w:rsidP="00BE6FAD"/>
    <w:p w:rsidR="009E7983" w:rsidRPr="00627719" w:rsidRDefault="009E7983" w:rsidP="00BE6FAD"/>
    <w:p w:rsidR="00BE6FAD" w:rsidRPr="00627719" w:rsidRDefault="00BE6FAD" w:rsidP="00BE6FAD">
      <w:pPr>
        <w:pStyle w:val="Normal1"/>
        <w:spacing w:before="0" w:beforeAutospacing="0" w:after="0" w:afterAutospacing="0"/>
        <w:jc w:val="both"/>
        <w:rPr>
          <w:b/>
          <w:lang w:val="en-GB"/>
        </w:rPr>
      </w:pPr>
    </w:p>
    <w:p w:rsidR="00BE6FAD" w:rsidRPr="00627719" w:rsidRDefault="00BE6FAD" w:rsidP="00BE6FAD">
      <w:pPr>
        <w:pStyle w:val="Normal1"/>
        <w:spacing w:before="0" w:beforeAutospacing="0" w:after="0" w:afterAutospacing="0"/>
        <w:jc w:val="both"/>
        <w:rPr>
          <w:b/>
          <w:lang w:val="en-GB"/>
        </w:rPr>
      </w:pPr>
      <w:r w:rsidRPr="00627719">
        <w:rPr>
          <w:b/>
          <w:lang w:val="en-GB"/>
        </w:rPr>
        <w:t>FOR THESE REASONS,</w:t>
      </w:r>
    </w:p>
    <w:p w:rsidR="00BE6FAD" w:rsidRPr="00627719" w:rsidRDefault="00BE6FAD" w:rsidP="00BE6FAD">
      <w:pPr>
        <w:pStyle w:val="Normal1"/>
        <w:spacing w:before="0" w:beforeAutospacing="0" w:after="0" w:afterAutospacing="0"/>
        <w:jc w:val="both"/>
        <w:rPr>
          <w:b/>
          <w:lang w:val="en-GB"/>
        </w:rPr>
      </w:pPr>
    </w:p>
    <w:p w:rsidR="00BE6FAD" w:rsidRPr="00627719" w:rsidRDefault="00BE6FAD" w:rsidP="00BE6FAD">
      <w:pPr>
        <w:autoSpaceDE w:val="0"/>
        <w:autoSpaceDN w:val="0"/>
        <w:adjustRightInd w:val="0"/>
        <w:jc w:val="both"/>
      </w:pPr>
      <w:r w:rsidRPr="00627719">
        <w:t>The Panel, unanimously,</w:t>
      </w:r>
    </w:p>
    <w:p w:rsidR="00BE6FAD" w:rsidRPr="00627719" w:rsidRDefault="00BE6FAD" w:rsidP="00BE6FAD">
      <w:pPr>
        <w:autoSpaceDE w:val="0"/>
        <w:autoSpaceDN w:val="0"/>
        <w:adjustRightInd w:val="0"/>
        <w:jc w:val="both"/>
      </w:pPr>
    </w:p>
    <w:p w:rsidR="002E28B8" w:rsidRPr="00627719" w:rsidRDefault="002E28B8" w:rsidP="00BE6FAD">
      <w:pPr>
        <w:autoSpaceDE w:val="0"/>
        <w:autoSpaceDN w:val="0"/>
        <w:adjustRightInd w:val="0"/>
        <w:jc w:val="both"/>
      </w:pPr>
    </w:p>
    <w:p w:rsidR="00BE6FAD" w:rsidRPr="00627719" w:rsidRDefault="00BE6FAD" w:rsidP="00BE6FAD">
      <w:pPr>
        <w:pStyle w:val="JuList"/>
        <w:numPr>
          <w:ilvl w:val="0"/>
          <w:numId w:val="36"/>
        </w:numPr>
        <w:tabs>
          <w:tab w:val="clear" w:pos="567"/>
          <w:tab w:val="num" w:pos="720"/>
        </w:tabs>
        <w:ind w:left="360"/>
        <w:rPr>
          <w:b/>
        </w:rPr>
      </w:pPr>
      <w:r w:rsidRPr="00627719">
        <w:rPr>
          <w:b/>
        </w:rPr>
        <w:t>FINDS THAT THERE HAS BEEN A VIOLATION OF THE PROCEDURAL OBLIGATION UNDER ARTICLE 2 OF THE EUROPEAN CONVENTION ON HUMAN RIGHTS;</w:t>
      </w:r>
    </w:p>
    <w:p w:rsidR="002E28B8" w:rsidRPr="00627719" w:rsidRDefault="002E28B8" w:rsidP="00BE6FAD">
      <w:pPr>
        <w:pStyle w:val="JuList"/>
        <w:ind w:left="0" w:firstLine="0"/>
        <w:rPr>
          <w:b/>
          <w:bCs/>
          <w:lang w:eastAsia="en-US"/>
        </w:rPr>
      </w:pPr>
    </w:p>
    <w:p w:rsidR="00BE6FAD" w:rsidRPr="00627719" w:rsidRDefault="00BE6FAD" w:rsidP="00BE6FAD">
      <w:pPr>
        <w:pStyle w:val="JuList"/>
        <w:numPr>
          <w:ilvl w:val="0"/>
          <w:numId w:val="36"/>
        </w:numPr>
        <w:tabs>
          <w:tab w:val="clear" w:pos="567"/>
          <w:tab w:val="num" w:pos="720"/>
        </w:tabs>
        <w:ind w:left="360"/>
        <w:rPr>
          <w:b/>
          <w:bCs/>
          <w:lang w:eastAsia="en-US"/>
        </w:rPr>
      </w:pPr>
      <w:r w:rsidRPr="00627719">
        <w:rPr>
          <w:b/>
        </w:rPr>
        <w:t>RECOMMENDS</w:t>
      </w:r>
      <w:r w:rsidRPr="00627719">
        <w:rPr>
          <w:b/>
          <w:bCs/>
          <w:lang w:eastAsia="en-US"/>
        </w:rPr>
        <w:t xml:space="preserve"> THAT UNMIK:</w:t>
      </w:r>
    </w:p>
    <w:p w:rsidR="00BE6FAD" w:rsidRPr="00627719" w:rsidRDefault="00BE6FAD" w:rsidP="00BE6FAD">
      <w:pPr>
        <w:pStyle w:val="JuList"/>
        <w:ind w:left="0" w:firstLine="0"/>
        <w:rPr>
          <w:b/>
          <w:bCs/>
          <w:lang w:eastAsia="en-US"/>
        </w:rPr>
      </w:pPr>
    </w:p>
    <w:p w:rsidR="00BE6FAD" w:rsidRPr="00627719" w:rsidRDefault="00BE6FAD" w:rsidP="00BE6FAD">
      <w:pPr>
        <w:pStyle w:val="JuList"/>
        <w:numPr>
          <w:ilvl w:val="0"/>
          <w:numId w:val="37"/>
        </w:numPr>
        <w:ind w:left="720"/>
        <w:rPr>
          <w:b/>
          <w:bCs/>
          <w:lang w:eastAsia="en-US"/>
        </w:rPr>
      </w:pPr>
      <w:r w:rsidRPr="00627719">
        <w:rPr>
          <w:b/>
          <w:bCs/>
          <w:lang w:eastAsia="en-US"/>
        </w:rPr>
        <w:t xml:space="preserve">URGES EULEX AND OTHER COMPETENT AUTHORITIES IN KOSOVO TO TAKE ALL POSSIBLE STEPS IN ORDER TO ENSURE THAT THE CRIMINAL INVESTIGATION INTO THE </w:t>
      </w:r>
      <w:r w:rsidR="00F9009A" w:rsidRPr="00627719">
        <w:rPr>
          <w:b/>
        </w:rPr>
        <w:t>CIRCUMSTANCES SURROUNDING THE ARMED ATTACK OF 17 DECEMBER 1999, AS A RESULT OF WHICH ZORAN VUKIĆEVIĆ WAS KILLED,</w:t>
      </w:r>
      <w:r w:rsidR="00F9009A" w:rsidRPr="00627719">
        <w:rPr>
          <w:b/>
          <w:bCs/>
          <w:color w:val="FF0000"/>
          <w:lang w:eastAsia="en-US"/>
        </w:rPr>
        <w:t xml:space="preserve"> </w:t>
      </w:r>
      <w:r w:rsidRPr="00627719">
        <w:rPr>
          <w:b/>
          <w:bCs/>
          <w:lang w:eastAsia="en-US"/>
        </w:rPr>
        <w:t>IS CONTINUED IN COMPLIANCE WITH ARTICLE 2 OF THE ECHR AND THAT THE PERPETRATORS ARE BROUGHT TO JUSTICE;</w:t>
      </w:r>
    </w:p>
    <w:p w:rsidR="00BE6FAD" w:rsidRPr="00627719" w:rsidRDefault="00BE6FAD" w:rsidP="00BE6FAD">
      <w:pPr>
        <w:pStyle w:val="JuList"/>
        <w:ind w:left="360" w:firstLine="0"/>
        <w:rPr>
          <w:b/>
          <w:bCs/>
          <w:lang w:eastAsia="en-US"/>
        </w:rPr>
      </w:pPr>
    </w:p>
    <w:p w:rsidR="00BE6FAD" w:rsidRPr="00627719" w:rsidRDefault="00BE6FAD" w:rsidP="00BE6FAD">
      <w:pPr>
        <w:pStyle w:val="JuList"/>
        <w:numPr>
          <w:ilvl w:val="0"/>
          <w:numId w:val="37"/>
        </w:numPr>
        <w:ind w:left="720"/>
        <w:rPr>
          <w:b/>
          <w:bCs/>
          <w:lang w:eastAsia="en-US"/>
        </w:rPr>
      </w:pPr>
      <w:r w:rsidRPr="00627719">
        <w:rPr>
          <w:b/>
          <w:bCs/>
          <w:lang w:eastAsia="en-US"/>
        </w:rPr>
        <w:t xml:space="preserve">PUBLICLY ACKNOWLEDGES RESPONSIBILITY FOR ITS FAILURE TO CONDUCT AN EFFECTIVE INVESTIGATION INTO THE </w:t>
      </w:r>
      <w:r w:rsidR="00F9009A" w:rsidRPr="00627719">
        <w:rPr>
          <w:b/>
        </w:rPr>
        <w:t>CIRCUMSTANCES SURROUNDING THE ARMED ATTACK OF 17 DECEMBER 1999, AS A RESULT OF WHICH ZORAN VUKIĆEVIĆ WAS KILLED,</w:t>
      </w:r>
      <w:r w:rsidR="00F9009A" w:rsidRPr="00627719">
        <w:rPr>
          <w:b/>
          <w:bCs/>
          <w:color w:val="FF0000"/>
          <w:lang w:eastAsia="en-US"/>
        </w:rPr>
        <w:t xml:space="preserve"> </w:t>
      </w:r>
      <w:r w:rsidRPr="00627719">
        <w:rPr>
          <w:b/>
          <w:bCs/>
          <w:lang w:eastAsia="en-US"/>
        </w:rPr>
        <w:t xml:space="preserve">AND MAKES A PUBLIC APOLOGY TO THE COMPLAINANT; </w:t>
      </w:r>
    </w:p>
    <w:p w:rsidR="00BE6FAD" w:rsidRPr="00627719" w:rsidRDefault="00BE6FAD" w:rsidP="00BE6FAD">
      <w:pPr>
        <w:pStyle w:val="JuList"/>
        <w:ind w:left="360" w:firstLine="0"/>
        <w:rPr>
          <w:b/>
          <w:bCs/>
          <w:lang w:eastAsia="en-US"/>
        </w:rPr>
      </w:pPr>
    </w:p>
    <w:p w:rsidR="00BE6FAD" w:rsidRPr="00627719" w:rsidRDefault="00BE6FAD" w:rsidP="00BE6FAD">
      <w:pPr>
        <w:pStyle w:val="JuList"/>
        <w:numPr>
          <w:ilvl w:val="0"/>
          <w:numId w:val="37"/>
        </w:numPr>
        <w:ind w:left="720"/>
        <w:rPr>
          <w:b/>
          <w:bCs/>
          <w:lang w:eastAsia="en-US"/>
        </w:rPr>
      </w:pPr>
      <w:r w:rsidRPr="00627719">
        <w:rPr>
          <w:b/>
          <w:bCs/>
          <w:caps/>
          <w:lang w:val="en-US" w:eastAsia="en-US"/>
        </w:rPr>
        <w:t xml:space="preserve">TAKES </w:t>
      </w:r>
      <w:r w:rsidRPr="00627719">
        <w:rPr>
          <w:b/>
          <w:bCs/>
          <w:lang w:eastAsia="en-US"/>
        </w:rPr>
        <w:t>APPROPRIATE</w:t>
      </w:r>
      <w:r w:rsidRPr="00627719">
        <w:rPr>
          <w:b/>
          <w:bCs/>
          <w:caps/>
          <w:lang w:val="en-US" w:eastAsia="en-US"/>
        </w:rPr>
        <w:t xml:space="preserve"> STEPS TOWARDS PAYMENT OF ADEQUATE COMPENSATION OF THE COMPLAINANT FOR MORAL DAMAGE</w:t>
      </w:r>
      <w:r w:rsidRPr="00627719">
        <w:rPr>
          <w:b/>
          <w:bCs/>
          <w:lang w:eastAsia="en-US"/>
        </w:rPr>
        <w:t>;</w:t>
      </w:r>
    </w:p>
    <w:p w:rsidR="00BE6FAD" w:rsidRPr="00627719" w:rsidRDefault="00BE6FAD" w:rsidP="00BE6FAD">
      <w:pPr>
        <w:pStyle w:val="JuList"/>
        <w:ind w:left="0" w:firstLine="0"/>
        <w:rPr>
          <w:b/>
          <w:bCs/>
          <w:lang w:eastAsia="en-US"/>
        </w:rPr>
      </w:pPr>
    </w:p>
    <w:p w:rsidR="00BE6FAD" w:rsidRPr="00627719" w:rsidRDefault="00BE6FAD" w:rsidP="00BE6FAD">
      <w:pPr>
        <w:pStyle w:val="JuList"/>
        <w:numPr>
          <w:ilvl w:val="0"/>
          <w:numId w:val="37"/>
        </w:numPr>
        <w:ind w:left="720"/>
        <w:rPr>
          <w:b/>
          <w:bCs/>
          <w:lang w:eastAsia="en-US"/>
        </w:rPr>
      </w:pPr>
      <w:r w:rsidRPr="00627719">
        <w:rPr>
          <w:b/>
          <w:bCs/>
          <w:lang w:eastAsia="en-US"/>
        </w:rPr>
        <w:t>TAKES APPROPRIATE STEPS TOWARDS THE REALISATION OF A FULL AND COMPREHENSIVE REPARATION PROGRAMME;</w:t>
      </w:r>
    </w:p>
    <w:p w:rsidR="00BE6FAD" w:rsidRPr="00627719" w:rsidRDefault="00BE6FAD" w:rsidP="00BE6FAD">
      <w:pPr>
        <w:pStyle w:val="ListParagraph"/>
        <w:rPr>
          <w:b/>
          <w:bCs/>
          <w:lang w:eastAsia="en-US"/>
        </w:rPr>
      </w:pPr>
    </w:p>
    <w:p w:rsidR="00BE6FAD" w:rsidRPr="00627719" w:rsidRDefault="00BE6FAD" w:rsidP="00BE6FAD">
      <w:pPr>
        <w:pStyle w:val="JuList"/>
        <w:numPr>
          <w:ilvl w:val="0"/>
          <w:numId w:val="37"/>
        </w:numPr>
        <w:ind w:left="720"/>
        <w:rPr>
          <w:b/>
          <w:bCs/>
          <w:lang w:eastAsia="en-US"/>
        </w:rPr>
      </w:pPr>
      <w:r w:rsidRPr="00627719">
        <w:rPr>
          <w:b/>
          <w:bCs/>
          <w:lang w:eastAsia="en-US"/>
        </w:rPr>
        <w:t>TAKES APPROPRIATE STEPS AT THE UNITED NATIONS AS A GUARANTEE OF NON</w:t>
      </w:r>
      <w:r w:rsidR="004A76CF" w:rsidRPr="00627719">
        <w:rPr>
          <w:b/>
          <w:bCs/>
          <w:lang w:val="en-US" w:eastAsia="en-US"/>
        </w:rPr>
        <w:t>-</w:t>
      </w:r>
      <w:r w:rsidRPr="00627719">
        <w:rPr>
          <w:b/>
          <w:bCs/>
          <w:lang w:eastAsia="en-US"/>
        </w:rPr>
        <w:t>REPETITION;</w:t>
      </w:r>
    </w:p>
    <w:p w:rsidR="002E28B8" w:rsidRPr="00627719" w:rsidRDefault="002E28B8" w:rsidP="002E28B8">
      <w:pPr>
        <w:pStyle w:val="ListParagraph"/>
        <w:rPr>
          <w:b/>
          <w:bCs/>
          <w:lang w:eastAsia="en-US"/>
        </w:rPr>
      </w:pPr>
    </w:p>
    <w:p w:rsidR="00BE6FAD" w:rsidRPr="00627719" w:rsidRDefault="00BE6FAD" w:rsidP="00BE6FAD">
      <w:pPr>
        <w:pStyle w:val="JuList"/>
        <w:numPr>
          <w:ilvl w:val="0"/>
          <w:numId w:val="37"/>
        </w:numPr>
        <w:ind w:left="720"/>
        <w:rPr>
          <w:b/>
          <w:bCs/>
          <w:lang w:eastAsia="en-US"/>
        </w:rPr>
      </w:pPr>
      <w:r w:rsidRPr="00627719">
        <w:rPr>
          <w:b/>
          <w:bCs/>
          <w:lang w:eastAsia="en-US"/>
        </w:rPr>
        <w:t>TAKES IMMEDIATE AND EFFECTIVE MEASURES TO IMPLEMENT THE RECOMMENDATIONS OF THE PANEL AND TO INFORM THE COMPLAINANT AND THE PANEL ABOUT FURTHER DEVELOPMENTS IN THIS CASE.</w:t>
      </w:r>
    </w:p>
    <w:p w:rsidR="00BE6FAD" w:rsidRPr="00627719" w:rsidRDefault="00BE6FAD" w:rsidP="00BE6FAD"/>
    <w:p w:rsidR="00BE6FAD" w:rsidRPr="00627719" w:rsidRDefault="00BE6FAD" w:rsidP="00BE6FAD">
      <w:pPr>
        <w:tabs>
          <w:tab w:val="left" w:pos="357"/>
        </w:tabs>
        <w:autoSpaceDE w:val="0"/>
        <w:jc w:val="both"/>
      </w:pPr>
    </w:p>
    <w:p w:rsidR="00BE6FAD" w:rsidRPr="00627719" w:rsidRDefault="00BE6FAD" w:rsidP="00BE6FAD">
      <w:pPr>
        <w:tabs>
          <w:tab w:val="left" w:pos="357"/>
        </w:tabs>
        <w:autoSpaceDE w:val="0"/>
        <w:jc w:val="both"/>
      </w:pPr>
    </w:p>
    <w:p w:rsidR="00BE6FAD" w:rsidRDefault="00BE6FAD" w:rsidP="00BE6FAD">
      <w:pPr>
        <w:tabs>
          <w:tab w:val="left" w:pos="357"/>
        </w:tabs>
        <w:autoSpaceDE w:val="0"/>
        <w:jc w:val="both"/>
      </w:pPr>
    </w:p>
    <w:p w:rsidR="00193C1B" w:rsidRDefault="00193C1B" w:rsidP="00BE6FAD">
      <w:pPr>
        <w:tabs>
          <w:tab w:val="left" w:pos="357"/>
        </w:tabs>
        <w:autoSpaceDE w:val="0"/>
        <w:jc w:val="both"/>
      </w:pPr>
    </w:p>
    <w:p w:rsidR="00193C1B" w:rsidRDefault="00193C1B" w:rsidP="00BE6FAD">
      <w:pPr>
        <w:tabs>
          <w:tab w:val="left" w:pos="357"/>
        </w:tabs>
        <w:autoSpaceDE w:val="0"/>
        <w:jc w:val="both"/>
      </w:pPr>
    </w:p>
    <w:p w:rsidR="00193C1B" w:rsidRDefault="00193C1B" w:rsidP="00BE6FAD">
      <w:pPr>
        <w:tabs>
          <w:tab w:val="left" w:pos="357"/>
        </w:tabs>
        <w:autoSpaceDE w:val="0"/>
        <w:jc w:val="both"/>
      </w:pPr>
    </w:p>
    <w:p w:rsidR="00193C1B" w:rsidRDefault="00193C1B" w:rsidP="00BE6FAD">
      <w:pPr>
        <w:tabs>
          <w:tab w:val="left" w:pos="357"/>
        </w:tabs>
        <w:autoSpaceDE w:val="0"/>
        <w:jc w:val="both"/>
      </w:pPr>
    </w:p>
    <w:p w:rsidR="00193C1B" w:rsidRDefault="00193C1B" w:rsidP="00BE6FAD">
      <w:pPr>
        <w:tabs>
          <w:tab w:val="left" w:pos="357"/>
        </w:tabs>
        <w:autoSpaceDE w:val="0"/>
        <w:jc w:val="both"/>
      </w:pPr>
    </w:p>
    <w:p w:rsidR="00627719" w:rsidRPr="00627719" w:rsidRDefault="00627719" w:rsidP="00BE6FAD">
      <w:pPr>
        <w:tabs>
          <w:tab w:val="left" w:pos="357"/>
        </w:tabs>
        <w:autoSpaceDE w:val="0"/>
        <w:jc w:val="both"/>
      </w:pPr>
    </w:p>
    <w:p w:rsidR="00B130F6" w:rsidRPr="00627719" w:rsidRDefault="00193C1B" w:rsidP="00B130F6">
      <w:pPr>
        <w:autoSpaceDE w:val="0"/>
      </w:pPr>
      <w:r>
        <w:t xml:space="preserve">  </w:t>
      </w:r>
      <w:r w:rsidR="00BE6FAD" w:rsidRPr="00627719">
        <w:t>Andrey ANTONOV</w:t>
      </w:r>
      <w:r w:rsidR="00BE6FAD" w:rsidRPr="00627719">
        <w:tab/>
      </w:r>
      <w:r w:rsidR="00BE6FAD" w:rsidRPr="00627719">
        <w:tab/>
      </w:r>
      <w:r w:rsidR="00BE6FAD" w:rsidRPr="00627719">
        <w:tab/>
      </w:r>
      <w:r w:rsidR="00BE6FAD" w:rsidRPr="00627719">
        <w:tab/>
      </w:r>
      <w:r w:rsidR="00BE6FAD" w:rsidRPr="00627719">
        <w:tab/>
      </w:r>
      <w:r w:rsidR="00BE6FAD" w:rsidRPr="00627719">
        <w:tab/>
      </w:r>
      <w:r w:rsidR="00BE6FAD" w:rsidRPr="00627719">
        <w:tab/>
      </w:r>
      <w:r>
        <w:t xml:space="preserve"> </w:t>
      </w:r>
      <w:r w:rsidR="00BE6FAD" w:rsidRPr="00627719">
        <w:t>Marek NOWICKI</w:t>
      </w:r>
    </w:p>
    <w:p w:rsidR="00DE495B" w:rsidRPr="00627719" w:rsidRDefault="00F9009A" w:rsidP="00F9009A">
      <w:pPr>
        <w:autoSpaceDE w:val="0"/>
      </w:pPr>
      <w:r w:rsidRPr="00627719">
        <w:t xml:space="preserve"> </w:t>
      </w:r>
      <w:r w:rsidR="00B130F6" w:rsidRPr="00627719">
        <w:t xml:space="preserve"> </w:t>
      </w:r>
      <w:r w:rsidR="00BE6FAD" w:rsidRPr="00627719">
        <w:t xml:space="preserve">Executive Officer </w:t>
      </w:r>
      <w:r w:rsidR="00BE6FAD" w:rsidRPr="00627719">
        <w:tab/>
      </w:r>
      <w:r w:rsidR="00BE6FAD" w:rsidRPr="00627719">
        <w:tab/>
      </w:r>
      <w:r w:rsidR="00BE6FAD" w:rsidRPr="00627719">
        <w:tab/>
      </w:r>
      <w:r w:rsidR="00B130F6" w:rsidRPr="00627719">
        <w:tab/>
      </w:r>
      <w:r w:rsidR="00B130F6" w:rsidRPr="00627719">
        <w:tab/>
      </w:r>
      <w:r w:rsidR="00B130F6" w:rsidRPr="00627719">
        <w:tab/>
      </w:r>
      <w:r w:rsidR="00B130F6" w:rsidRPr="00627719">
        <w:tab/>
      </w:r>
      <w:r w:rsidR="003E2A7A" w:rsidRPr="00627719">
        <w:t xml:space="preserve"> </w:t>
      </w:r>
      <w:r w:rsidR="00BE6FAD" w:rsidRPr="00627719">
        <w:t>Presiding Member</w:t>
      </w:r>
    </w:p>
    <w:p w:rsidR="00DE495B" w:rsidRPr="00627719" w:rsidRDefault="00DE495B" w:rsidP="008655D3">
      <w:pPr>
        <w:jc w:val="right"/>
      </w:pPr>
    </w:p>
    <w:p w:rsidR="00284160" w:rsidRPr="00627719" w:rsidRDefault="00284160" w:rsidP="00F9009A">
      <w:pPr>
        <w:jc w:val="right"/>
        <w:rPr>
          <w:i/>
        </w:rPr>
      </w:pPr>
      <w:r w:rsidRPr="00627719">
        <w:rPr>
          <w:i/>
        </w:rPr>
        <w:br w:type="page"/>
        <w:t>Annex</w:t>
      </w:r>
    </w:p>
    <w:p w:rsidR="00284160" w:rsidRPr="00627719" w:rsidRDefault="00284160" w:rsidP="00284160"/>
    <w:p w:rsidR="00F9009A" w:rsidRPr="00627719" w:rsidRDefault="00F9009A" w:rsidP="00284160">
      <w:pPr>
        <w:jc w:val="center"/>
        <w:rPr>
          <w:b/>
        </w:rPr>
      </w:pPr>
    </w:p>
    <w:p w:rsidR="00284160" w:rsidRPr="00627719" w:rsidRDefault="00284160" w:rsidP="00284160">
      <w:pPr>
        <w:jc w:val="center"/>
      </w:pPr>
      <w:r w:rsidRPr="00627719">
        <w:rPr>
          <w:b/>
        </w:rPr>
        <w:t>ABBREVIATIONS AND ACRONYMS</w:t>
      </w:r>
    </w:p>
    <w:p w:rsidR="00284160" w:rsidRPr="00627719" w:rsidRDefault="00284160" w:rsidP="00284160">
      <w:pPr>
        <w:autoSpaceDE w:val="0"/>
        <w:jc w:val="both"/>
      </w:pPr>
    </w:p>
    <w:p w:rsidR="00284160" w:rsidRPr="00627719" w:rsidRDefault="00284160" w:rsidP="00284160">
      <w:pPr>
        <w:autoSpaceDE w:val="0"/>
        <w:spacing w:line="276" w:lineRule="auto"/>
        <w:ind w:left="540"/>
        <w:jc w:val="both"/>
      </w:pPr>
      <w:r w:rsidRPr="00627719">
        <w:rPr>
          <w:b/>
        </w:rPr>
        <w:t xml:space="preserve">CCIU </w:t>
      </w:r>
      <w:r w:rsidRPr="00627719">
        <w:t>- Central Criminal Investigation Unit</w:t>
      </w:r>
    </w:p>
    <w:p w:rsidR="00284160" w:rsidRPr="00627719" w:rsidRDefault="00284160" w:rsidP="00284160">
      <w:pPr>
        <w:autoSpaceDE w:val="0"/>
        <w:spacing w:line="276" w:lineRule="auto"/>
        <w:ind w:left="540"/>
        <w:jc w:val="both"/>
      </w:pPr>
      <w:r w:rsidRPr="00627719">
        <w:rPr>
          <w:b/>
        </w:rPr>
        <w:t xml:space="preserve">DOJ </w:t>
      </w:r>
      <w:r w:rsidRPr="00627719">
        <w:t>- Department of Justice</w:t>
      </w:r>
    </w:p>
    <w:p w:rsidR="00284160" w:rsidRPr="00627719" w:rsidRDefault="00284160" w:rsidP="00284160">
      <w:pPr>
        <w:autoSpaceDE w:val="0"/>
        <w:spacing w:line="276" w:lineRule="auto"/>
        <w:ind w:left="540"/>
        <w:jc w:val="both"/>
      </w:pPr>
      <w:r w:rsidRPr="00627719">
        <w:rPr>
          <w:b/>
        </w:rPr>
        <w:t>ECHR</w:t>
      </w:r>
      <w:r w:rsidRPr="00627719">
        <w:t xml:space="preserve"> - European Convention on Human Rights</w:t>
      </w:r>
    </w:p>
    <w:p w:rsidR="00284160" w:rsidRPr="00627719" w:rsidRDefault="00284160" w:rsidP="00284160">
      <w:pPr>
        <w:autoSpaceDE w:val="0"/>
        <w:spacing w:line="276" w:lineRule="auto"/>
        <w:ind w:left="540"/>
        <w:jc w:val="both"/>
      </w:pPr>
      <w:r w:rsidRPr="00627719">
        <w:rPr>
          <w:b/>
        </w:rPr>
        <w:t xml:space="preserve">ECtHR </w:t>
      </w:r>
      <w:r w:rsidRPr="00627719">
        <w:t xml:space="preserve">- European Court of Human Rights </w:t>
      </w:r>
    </w:p>
    <w:p w:rsidR="00284160" w:rsidRPr="00627719" w:rsidRDefault="00284160" w:rsidP="00284160">
      <w:pPr>
        <w:autoSpaceDE w:val="0"/>
        <w:spacing w:line="276" w:lineRule="auto"/>
        <w:ind w:left="540"/>
        <w:jc w:val="both"/>
      </w:pPr>
      <w:r w:rsidRPr="00627719">
        <w:rPr>
          <w:b/>
        </w:rPr>
        <w:t>EU</w:t>
      </w:r>
      <w:r w:rsidRPr="00627719">
        <w:t xml:space="preserve"> - European Union</w:t>
      </w:r>
    </w:p>
    <w:p w:rsidR="00284160" w:rsidRPr="00627719" w:rsidRDefault="00284160" w:rsidP="00284160">
      <w:pPr>
        <w:autoSpaceDE w:val="0"/>
        <w:spacing w:line="276" w:lineRule="auto"/>
        <w:ind w:left="540"/>
        <w:jc w:val="both"/>
      </w:pPr>
      <w:r w:rsidRPr="00627719">
        <w:rPr>
          <w:b/>
        </w:rPr>
        <w:t>EULEX</w:t>
      </w:r>
      <w:r w:rsidRPr="00627719">
        <w:t xml:space="preserve"> - European Union Rule of Law Mission in Kosovo</w:t>
      </w:r>
    </w:p>
    <w:p w:rsidR="00284160" w:rsidRPr="00627719" w:rsidRDefault="00284160" w:rsidP="00284160">
      <w:pPr>
        <w:autoSpaceDE w:val="0"/>
        <w:spacing w:line="276" w:lineRule="auto"/>
        <w:ind w:left="540"/>
        <w:jc w:val="both"/>
      </w:pPr>
      <w:r w:rsidRPr="00627719">
        <w:rPr>
          <w:b/>
        </w:rPr>
        <w:t xml:space="preserve">FRY </w:t>
      </w:r>
      <w:r w:rsidRPr="00627719">
        <w:t xml:space="preserve">- Federal Republic of Yugoslavia </w:t>
      </w:r>
    </w:p>
    <w:p w:rsidR="00C81172" w:rsidRPr="00627719" w:rsidRDefault="00C81172" w:rsidP="00284160">
      <w:pPr>
        <w:autoSpaceDE w:val="0"/>
        <w:spacing w:line="276" w:lineRule="auto"/>
        <w:ind w:left="540"/>
        <w:jc w:val="both"/>
        <w:rPr>
          <w:b/>
        </w:rPr>
      </w:pPr>
      <w:r w:rsidRPr="00627719">
        <w:rPr>
          <w:rFonts w:cs="CAGLHH+TimesNewRoman"/>
          <w:b/>
          <w:lang w:val="en-GB"/>
        </w:rPr>
        <w:t>GC</w:t>
      </w:r>
      <w:r w:rsidRPr="00627719">
        <w:rPr>
          <w:rFonts w:cs="CAGLHH+TimesNewRoman"/>
          <w:lang w:val="en-GB"/>
        </w:rPr>
        <w:t xml:space="preserve"> - Grand Chamber of the European Court</w:t>
      </w:r>
      <w:r w:rsidRPr="00627719">
        <w:t xml:space="preserve"> of Human Rights</w:t>
      </w:r>
    </w:p>
    <w:p w:rsidR="00284160" w:rsidRPr="00627719" w:rsidRDefault="00284160" w:rsidP="00284160">
      <w:pPr>
        <w:autoSpaceDE w:val="0"/>
        <w:spacing w:line="276" w:lineRule="auto"/>
        <w:ind w:left="540"/>
        <w:jc w:val="both"/>
      </w:pPr>
      <w:r w:rsidRPr="00627719">
        <w:rPr>
          <w:b/>
        </w:rPr>
        <w:t xml:space="preserve">HRAP </w:t>
      </w:r>
      <w:r w:rsidRPr="00627719">
        <w:t>- Human Rights Advisory Panel</w:t>
      </w:r>
    </w:p>
    <w:p w:rsidR="00284160" w:rsidRPr="00627719" w:rsidRDefault="00284160" w:rsidP="00284160">
      <w:pPr>
        <w:autoSpaceDE w:val="0"/>
        <w:spacing w:line="276" w:lineRule="auto"/>
        <w:ind w:left="540"/>
        <w:jc w:val="both"/>
      </w:pPr>
      <w:r w:rsidRPr="00627719">
        <w:rPr>
          <w:b/>
        </w:rPr>
        <w:t>HRC</w:t>
      </w:r>
      <w:r w:rsidRPr="00627719">
        <w:t xml:space="preserve"> - United Nation</w:t>
      </w:r>
      <w:r w:rsidR="00DB2E6D" w:rsidRPr="00627719">
        <w:t>s</w:t>
      </w:r>
      <w:r w:rsidRPr="00627719">
        <w:t xml:space="preserve"> Human Rights Committee</w:t>
      </w:r>
    </w:p>
    <w:p w:rsidR="00284160" w:rsidRPr="00627719" w:rsidRDefault="00284160" w:rsidP="00284160">
      <w:pPr>
        <w:autoSpaceDE w:val="0"/>
        <w:spacing w:line="276" w:lineRule="auto"/>
        <w:ind w:left="540"/>
        <w:jc w:val="both"/>
      </w:pPr>
      <w:r w:rsidRPr="00627719">
        <w:rPr>
          <w:b/>
        </w:rPr>
        <w:t xml:space="preserve">IACtHR </w:t>
      </w:r>
      <w:r w:rsidRPr="00627719">
        <w:t>- Inter-American Court of Human Rights</w:t>
      </w:r>
    </w:p>
    <w:p w:rsidR="00284160" w:rsidRPr="00627719" w:rsidRDefault="00284160" w:rsidP="00284160">
      <w:pPr>
        <w:autoSpaceDE w:val="0"/>
        <w:spacing w:line="276" w:lineRule="auto"/>
        <w:ind w:left="540"/>
        <w:jc w:val="both"/>
      </w:pPr>
      <w:r w:rsidRPr="00627719">
        <w:rPr>
          <w:b/>
        </w:rPr>
        <w:t xml:space="preserve">ICCPR </w:t>
      </w:r>
      <w:r w:rsidRPr="00627719">
        <w:t>- International Covenant on Civil and Political Rights</w:t>
      </w:r>
    </w:p>
    <w:p w:rsidR="00284160" w:rsidRPr="00627719" w:rsidRDefault="00284160" w:rsidP="00284160">
      <w:pPr>
        <w:autoSpaceDE w:val="0"/>
        <w:spacing w:line="276" w:lineRule="auto"/>
        <w:ind w:left="540"/>
        <w:jc w:val="both"/>
      </w:pPr>
      <w:r w:rsidRPr="00627719">
        <w:rPr>
          <w:b/>
        </w:rPr>
        <w:t>ICMP</w:t>
      </w:r>
      <w:r w:rsidRPr="00627719">
        <w:t xml:space="preserve"> - International Commission of Missing Persons</w:t>
      </w:r>
    </w:p>
    <w:p w:rsidR="00284160" w:rsidRPr="00627719" w:rsidRDefault="00284160" w:rsidP="00284160">
      <w:pPr>
        <w:autoSpaceDE w:val="0"/>
        <w:spacing w:line="276" w:lineRule="auto"/>
        <w:ind w:left="540"/>
        <w:jc w:val="both"/>
      </w:pPr>
      <w:r w:rsidRPr="00627719">
        <w:rPr>
          <w:b/>
        </w:rPr>
        <w:t>ICRC</w:t>
      </w:r>
      <w:r w:rsidRPr="00627719">
        <w:t xml:space="preserve"> - International Committee of the Red Cross</w:t>
      </w:r>
    </w:p>
    <w:p w:rsidR="00284160" w:rsidRPr="00627719" w:rsidRDefault="00284160" w:rsidP="00284160">
      <w:pPr>
        <w:autoSpaceDE w:val="0"/>
        <w:spacing w:line="276" w:lineRule="auto"/>
        <w:ind w:left="540"/>
        <w:jc w:val="both"/>
      </w:pPr>
      <w:r w:rsidRPr="00627719">
        <w:rPr>
          <w:b/>
        </w:rPr>
        <w:t>KFOR</w:t>
      </w:r>
      <w:r w:rsidRPr="00627719">
        <w:t xml:space="preserve"> - International Security Force (commonly known as Kosovo Force)</w:t>
      </w:r>
    </w:p>
    <w:p w:rsidR="00284160" w:rsidRPr="00627719" w:rsidRDefault="00284160" w:rsidP="00284160">
      <w:pPr>
        <w:autoSpaceDE w:val="0"/>
        <w:spacing w:line="276" w:lineRule="auto"/>
        <w:ind w:left="540"/>
        <w:jc w:val="both"/>
      </w:pPr>
      <w:r w:rsidRPr="00627719">
        <w:rPr>
          <w:b/>
        </w:rPr>
        <w:t>KLA</w:t>
      </w:r>
      <w:r w:rsidRPr="00627719">
        <w:t xml:space="preserve"> - Kosovo Liberation Army</w:t>
      </w:r>
    </w:p>
    <w:p w:rsidR="00284160" w:rsidRPr="00627719" w:rsidRDefault="00284160" w:rsidP="00284160">
      <w:pPr>
        <w:autoSpaceDE w:val="0"/>
        <w:spacing w:line="276" w:lineRule="auto"/>
        <w:ind w:left="540"/>
        <w:jc w:val="both"/>
      </w:pPr>
      <w:r w:rsidRPr="00627719">
        <w:rPr>
          <w:b/>
        </w:rPr>
        <w:t xml:space="preserve">MoU - </w:t>
      </w:r>
      <w:r w:rsidRPr="00627719">
        <w:t>Memorandum of Understanding</w:t>
      </w:r>
    </w:p>
    <w:p w:rsidR="00284160" w:rsidRPr="00627719" w:rsidRDefault="00284160" w:rsidP="00284160">
      <w:pPr>
        <w:autoSpaceDE w:val="0"/>
        <w:spacing w:line="276" w:lineRule="auto"/>
        <w:ind w:left="540"/>
        <w:jc w:val="both"/>
      </w:pPr>
      <w:r w:rsidRPr="00627719">
        <w:rPr>
          <w:b/>
        </w:rPr>
        <w:t xml:space="preserve">MPU </w:t>
      </w:r>
      <w:r w:rsidRPr="00627719">
        <w:t>- Missing Persons Unit</w:t>
      </w:r>
    </w:p>
    <w:p w:rsidR="00284160" w:rsidRPr="00627719" w:rsidRDefault="00284160" w:rsidP="00284160">
      <w:pPr>
        <w:autoSpaceDE w:val="0"/>
        <w:spacing w:line="276" w:lineRule="auto"/>
        <w:ind w:left="540"/>
        <w:jc w:val="both"/>
      </w:pPr>
      <w:r w:rsidRPr="00627719">
        <w:rPr>
          <w:b/>
        </w:rPr>
        <w:t>NATO</w:t>
      </w:r>
      <w:r w:rsidRPr="00627719">
        <w:t xml:space="preserve"> - North Atlantic Treaty Organization </w:t>
      </w:r>
    </w:p>
    <w:p w:rsidR="00284160" w:rsidRPr="00627719" w:rsidRDefault="00284160" w:rsidP="00284160">
      <w:pPr>
        <w:autoSpaceDE w:val="0"/>
        <w:spacing w:line="276" w:lineRule="auto"/>
        <w:ind w:left="540"/>
        <w:jc w:val="both"/>
      </w:pPr>
      <w:r w:rsidRPr="00627719">
        <w:rPr>
          <w:b/>
        </w:rPr>
        <w:t>OMPF</w:t>
      </w:r>
      <w:r w:rsidRPr="00627719">
        <w:t xml:space="preserve"> - Office on Missing Persons and Forensics</w:t>
      </w:r>
    </w:p>
    <w:p w:rsidR="00284160" w:rsidRPr="00627719" w:rsidRDefault="00284160" w:rsidP="00284160">
      <w:pPr>
        <w:autoSpaceDE w:val="0"/>
        <w:spacing w:line="276" w:lineRule="auto"/>
        <w:ind w:left="540"/>
        <w:jc w:val="both"/>
      </w:pPr>
      <w:r w:rsidRPr="00627719">
        <w:rPr>
          <w:b/>
        </w:rPr>
        <w:t>OSCE</w:t>
      </w:r>
      <w:r w:rsidRPr="00627719">
        <w:t xml:space="preserve"> - Organization for Security and Cooperation in Europe</w:t>
      </w:r>
    </w:p>
    <w:p w:rsidR="00284160" w:rsidRPr="00627719" w:rsidRDefault="00284160" w:rsidP="00284160">
      <w:pPr>
        <w:autoSpaceDE w:val="0"/>
        <w:spacing w:line="276" w:lineRule="auto"/>
        <w:ind w:left="540"/>
        <w:jc w:val="both"/>
      </w:pPr>
      <w:r w:rsidRPr="00627719">
        <w:rPr>
          <w:b/>
        </w:rPr>
        <w:t xml:space="preserve">RIU - </w:t>
      </w:r>
      <w:r w:rsidRPr="00627719">
        <w:t>Regional Investigation Unit</w:t>
      </w:r>
    </w:p>
    <w:p w:rsidR="00284160" w:rsidRPr="00627719" w:rsidRDefault="00284160" w:rsidP="00284160">
      <w:pPr>
        <w:autoSpaceDE w:val="0"/>
        <w:spacing w:line="276" w:lineRule="auto"/>
        <w:ind w:left="540"/>
        <w:jc w:val="both"/>
      </w:pPr>
      <w:r w:rsidRPr="00627719">
        <w:rPr>
          <w:b/>
        </w:rPr>
        <w:t>SRSG</w:t>
      </w:r>
      <w:r w:rsidRPr="00627719">
        <w:t xml:space="preserve"> - Special Representative of the Secretary-General </w:t>
      </w:r>
    </w:p>
    <w:p w:rsidR="00284160" w:rsidRPr="00627719" w:rsidRDefault="00284160" w:rsidP="00284160">
      <w:pPr>
        <w:autoSpaceDE w:val="0"/>
        <w:spacing w:line="276" w:lineRule="auto"/>
        <w:ind w:left="540"/>
        <w:jc w:val="both"/>
      </w:pPr>
      <w:r w:rsidRPr="00627719">
        <w:rPr>
          <w:b/>
        </w:rPr>
        <w:t>UN</w:t>
      </w:r>
      <w:r w:rsidRPr="00627719">
        <w:t xml:space="preserve"> - United Nations</w:t>
      </w:r>
    </w:p>
    <w:p w:rsidR="00284160" w:rsidRPr="00627719" w:rsidRDefault="00284160" w:rsidP="00284160">
      <w:pPr>
        <w:autoSpaceDE w:val="0"/>
        <w:spacing w:line="276" w:lineRule="auto"/>
        <w:ind w:left="540"/>
        <w:jc w:val="both"/>
      </w:pPr>
      <w:r w:rsidRPr="00627719">
        <w:rPr>
          <w:b/>
        </w:rPr>
        <w:t xml:space="preserve">UNHCR </w:t>
      </w:r>
      <w:r w:rsidRPr="00627719">
        <w:t>- United Nations High Commissioner for Refugees</w:t>
      </w:r>
    </w:p>
    <w:p w:rsidR="00284160" w:rsidRPr="00627719" w:rsidRDefault="00284160" w:rsidP="00284160">
      <w:pPr>
        <w:autoSpaceDE w:val="0"/>
        <w:spacing w:line="276" w:lineRule="auto"/>
        <w:ind w:left="540"/>
        <w:jc w:val="both"/>
      </w:pPr>
      <w:r w:rsidRPr="00627719">
        <w:rPr>
          <w:b/>
        </w:rPr>
        <w:t>UNMIK</w:t>
      </w:r>
      <w:r w:rsidRPr="00627719">
        <w:t xml:space="preserve"> - United Nations Interim Administration Mission in Kosovo </w:t>
      </w:r>
    </w:p>
    <w:p w:rsidR="00284160" w:rsidRPr="00627719" w:rsidRDefault="00284160" w:rsidP="00284160">
      <w:pPr>
        <w:autoSpaceDE w:val="0"/>
        <w:spacing w:line="276" w:lineRule="auto"/>
        <w:ind w:left="540"/>
        <w:jc w:val="both"/>
      </w:pPr>
      <w:r w:rsidRPr="00627719">
        <w:rPr>
          <w:b/>
        </w:rPr>
        <w:t>VRIC</w:t>
      </w:r>
      <w:r w:rsidRPr="00627719">
        <w:t xml:space="preserve"> - Victim Recovery and Identification Commission</w:t>
      </w:r>
    </w:p>
    <w:p w:rsidR="00284160" w:rsidRPr="00D9577C" w:rsidRDefault="00284160" w:rsidP="00284160">
      <w:pPr>
        <w:autoSpaceDE w:val="0"/>
        <w:spacing w:line="276" w:lineRule="auto"/>
        <w:ind w:left="540"/>
        <w:jc w:val="both"/>
      </w:pPr>
      <w:r w:rsidRPr="00627719">
        <w:rPr>
          <w:b/>
        </w:rPr>
        <w:t xml:space="preserve">WCIU </w:t>
      </w:r>
      <w:r w:rsidRPr="00627719">
        <w:t>- War Crimes Investigation Unit</w:t>
      </w:r>
    </w:p>
    <w:sectPr w:rsidR="00284160" w:rsidRPr="00D9577C" w:rsidSect="007E3485">
      <w:headerReference w:type="default" r:id="rId9"/>
      <w:pgSz w:w="12240" w:h="15840"/>
      <w:pgMar w:top="284" w:right="1325" w:bottom="709" w:left="1418" w:header="436"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F6E" w:rsidRDefault="000C6F6E">
      <w:r>
        <w:separator/>
      </w:r>
    </w:p>
  </w:endnote>
  <w:endnote w:type="continuationSeparator" w:id="0">
    <w:p w:rsidR="000C6F6E" w:rsidRDefault="000C6F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F6E" w:rsidRDefault="000C6F6E">
      <w:r>
        <w:separator/>
      </w:r>
    </w:p>
  </w:footnote>
  <w:footnote w:type="continuationSeparator" w:id="0">
    <w:p w:rsidR="000C6F6E" w:rsidRDefault="000C6F6E">
      <w:r>
        <w:continuationSeparator/>
      </w:r>
    </w:p>
  </w:footnote>
  <w:footnote w:id="1">
    <w:p w:rsidR="009E7983" w:rsidRPr="00DD3E1C" w:rsidRDefault="00200754" w:rsidP="003064B6">
      <w:pPr>
        <w:pStyle w:val="FootnoteText"/>
        <w:rPr>
          <w:rFonts w:ascii="Times New Roman" w:hAnsi="Times New Roman"/>
          <w:sz w:val="20"/>
        </w:rPr>
      </w:pPr>
      <w:r w:rsidRPr="00DD3E1C">
        <w:rPr>
          <w:rStyle w:val="FootnoteReference"/>
          <w:rFonts w:ascii="Times New Roman" w:hAnsi="Times New Roman"/>
          <w:sz w:val="20"/>
        </w:rPr>
        <w:footnoteRef/>
      </w:r>
      <w:r w:rsidRPr="00DD3E1C">
        <w:rPr>
          <w:rFonts w:ascii="Times New Roman" w:hAnsi="Times New Roman"/>
          <w:sz w:val="20"/>
        </w:rPr>
        <w:t xml:space="preserve"> A list of abbreviations and acronyms contained in the text can be found in the attached Annex.</w:t>
      </w:r>
    </w:p>
  </w:footnote>
  <w:footnote w:id="2">
    <w:p w:rsidR="00200754" w:rsidRPr="00680EF0" w:rsidRDefault="00200754" w:rsidP="003064B6">
      <w:pPr>
        <w:pStyle w:val="FootnoteText"/>
        <w:jc w:val="both"/>
        <w:rPr>
          <w:rFonts w:ascii="Times New Roman" w:hAnsi="Times New Roman"/>
          <w:sz w:val="20"/>
        </w:rPr>
      </w:pPr>
      <w:r w:rsidRPr="00680EF0">
        <w:rPr>
          <w:rStyle w:val="FootnoteReference"/>
          <w:rFonts w:ascii="Times New Roman" w:hAnsi="Times New Roman"/>
          <w:sz w:val="20"/>
        </w:rPr>
        <w:footnoteRef/>
      </w:r>
      <w:r w:rsidRPr="00680EF0">
        <w:rPr>
          <w:rFonts w:ascii="Times New Roman" w:hAnsi="Times New Roman"/>
          <w:sz w:val="20"/>
        </w:rPr>
        <w:t xml:space="preserve"> The references drawn upon by the Panel in setting out this general background include: </w:t>
      </w:r>
      <w:r>
        <w:rPr>
          <w:rFonts w:ascii="Times New Roman" w:hAnsi="Times New Roman"/>
          <w:sz w:val="20"/>
        </w:rPr>
        <w:t xml:space="preserve">OSCE, “As Seen, as Told”, Vol. 1 (October 1998 – June 1999) and Vol. II (14 June – 31 October 1999); </w:t>
      </w:r>
      <w:r w:rsidRPr="00680EF0">
        <w:rPr>
          <w:rFonts w:ascii="Times New Roman" w:hAnsi="Times New Roman"/>
          <w:sz w:val="20"/>
        </w:rPr>
        <w:t>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680EF0">
        <w:rPr>
          <w:rFonts w:ascii="Times New Roman" w:hAnsi="Times New Roman"/>
          <w:i/>
          <w:sz w:val="20"/>
        </w:rPr>
        <w:t xml:space="preserve"> Behrami and Behrami v. France</w:t>
      </w:r>
      <w:r w:rsidRPr="00680EF0">
        <w:rPr>
          <w:rFonts w:ascii="Times New Roman" w:hAnsi="Times New Roman"/>
          <w:sz w:val="20"/>
        </w:rPr>
        <w:t xml:space="preserve"> and </w:t>
      </w:r>
      <w:r w:rsidRPr="00680EF0">
        <w:rPr>
          <w:rFonts w:ascii="Times New Roman" w:hAnsi="Times New Roman"/>
          <w:i/>
          <w:sz w:val="20"/>
        </w:rPr>
        <w:t>Saramati v. France, Germany and Norway</w:t>
      </w:r>
      <w:r w:rsidRPr="00680EF0">
        <w:rPr>
          <w:rFonts w:ascii="Times New Roman" w:hAnsi="Times New Roman"/>
          <w:sz w:val="20"/>
        </w:rPr>
        <w:t xml:space="preserve">, nos. </w:t>
      </w:r>
      <w:r w:rsidRPr="00680EF0">
        <w:rPr>
          <w:rStyle w:val="sb8d990e2"/>
          <w:rFonts w:ascii="Times New Roman" w:hAnsi="Times New Roman"/>
          <w:sz w:val="20"/>
        </w:rPr>
        <w:t>71412/01 and</w:t>
      </w:r>
      <w:r w:rsidRPr="00680EF0">
        <w:rPr>
          <w:rFonts w:ascii="Times New Roman" w:hAnsi="Times New Roman"/>
          <w:sz w:val="20"/>
        </w:rPr>
        <w:t xml:space="preserve"> </w:t>
      </w:r>
      <w:r w:rsidRPr="00680EF0">
        <w:rPr>
          <w:rStyle w:val="sb8d990e2"/>
          <w:rFonts w:ascii="Times New Roman" w:hAnsi="Times New Roman"/>
          <w:sz w:val="20"/>
        </w:rPr>
        <w:t xml:space="preserve">78166/01, </w:t>
      </w:r>
      <w:r w:rsidRPr="00680EF0">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0875E1">
          <w:rPr>
            <w:rStyle w:val="Hyperlink"/>
            <w:rFonts w:ascii="Times New Roman" w:hAnsi="Times New Roman"/>
            <w:color w:val="auto"/>
            <w:sz w:val="20"/>
          </w:rPr>
          <w:t>www.unhchr.org</w:t>
        </w:r>
      </w:hyperlink>
      <w:r w:rsidRPr="00680EF0">
        <w:rPr>
          <w:rFonts w:ascii="Times New Roman" w:hAnsi="Times New Roman"/>
          <w:sz w:val="20"/>
        </w:rPr>
        <w:t xml:space="preserve">) and by the International Committee of the Red Cross (available </w:t>
      </w:r>
      <w:r w:rsidRPr="000875E1">
        <w:rPr>
          <w:rFonts w:ascii="Times New Roman" w:hAnsi="Times New Roman"/>
          <w:sz w:val="20"/>
        </w:rPr>
        <w:t xml:space="preserve">at </w:t>
      </w:r>
      <w:hyperlink r:id="rId2" w:history="1">
        <w:r w:rsidRPr="000875E1">
          <w:rPr>
            <w:rStyle w:val="Hyperlink"/>
            <w:rFonts w:ascii="Times New Roman" w:hAnsi="Times New Roman"/>
            <w:color w:val="auto"/>
            <w:sz w:val="20"/>
          </w:rPr>
          <w:t>http://familylinks.icrc.org/kosovo/en</w:t>
        </w:r>
      </w:hyperlink>
      <w:r w:rsidRPr="00680EF0">
        <w:rPr>
          <w:rFonts w:ascii="Times New Roman" w:hAnsi="Times New Roman"/>
          <w:sz w:val="20"/>
        </w:rPr>
        <w:t>)</w:t>
      </w:r>
      <w:r>
        <w:rPr>
          <w:rFonts w:ascii="Times New Roman" w:hAnsi="Times New Roman"/>
          <w:sz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754" w:rsidRPr="001A67D1" w:rsidRDefault="00200754">
    <w:pPr>
      <w:pStyle w:val="Header"/>
      <w:jc w:val="right"/>
    </w:pPr>
    <w:r w:rsidRPr="00284160">
      <w:rPr>
        <w:sz w:val="22"/>
        <w:szCs w:val="22"/>
      </w:rPr>
      <w:fldChar w:fldCharType="begin"/>
    </w:r>
    <w:r w:rsidRPr="00284160">
      <w:rPr>
        <w:sz w:val="22"/>
        <w:szCs w:val="22"/>
      </w:rPr>
      <w:instrText xml:space="preserve"> PAGE   \* MERGEFORMAT </w:instrText>
    </w:r>
    <w:r w:rsidRPr="00284160">
      <w:rPr>
        <w:sz w:val="22"/>
        <w:szCs w:val="22"/>
      </w:rPr>
      <w:fldChar w:fldCharType="separate"/>
    </w:r>
    <w:r w:rsidR="00975CB4">
      <w:rPr>
        <w:noProof/>
        <w:sz w:val="22"/>
        <w:szCs w:val="22"/>
      </w:rPr>
      <w:t>19</w:t>
    </w:r>
    <w:r w:rsidRPr="00284160">
      <w:rPr>
        <w:sz w:val="22"/>
        <w:szCs w:val="22"/>
      </w:rPr>
      <w:fldChar w:fldCharType="end"/>
    </w:r>
  </w:p>
  <w:p w:rsidR="00200754" w:rsidRDefault="002007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C89"/>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C640ED"/>
    <w:multiLevelType w:val="hybridMultilevel"/>
    <w:tmpl w:val="303854BA"/>
    <w:lvl w:ilvl="0" w:tplc="11F2BDEC">
      <w:start w:val="3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11F2BDEC">
      <w:start w:val="31"/>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5B3703"/>
    <w:multiLevelType w:val="hybridMultilevel"/>
    <w:tmpl w:val="3E8E2D94"/>
    <w:lvl w:ilvl="0" w:tplc="A7ACEDA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653790"/>
    <w:multiLevelType w:val="hybridMultilevel"/>
    <w:tmpl w:val="7756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46383"/>
    <w:multiLevelType w:val="hybridMultilevel"/>
    <w:tmpl w:val="CDCCA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3B7F3D"/>
    <w:multiLevelType w:val="multilevel"/>
    <w:tmpl w:val="4B30E412"/>
    <w:lvl w:ilvl="0">
      <w:start w:val="1"/>
      <w:numFmt w:val="lowerRoman"/>
      <w:lvlText w:val="%1."/>
      <w:lvlJc w:val="left"/>
      <w:pPr>
        <w:ind w:left="1080" w:hanging="720"/>
      </w:pPr>
      <w:rPr>
        <w:rFonts w:hint="default"/>
      </w:rPr>
    </w:lvl>
    <w:lvl w:ilvl="1">
      <w:start w:val="3"/>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65456BA"/>
    <w:multiLevelType w:val="hybridMultilevel"/>
    <w:tmpl w:val="5F6C1FB8"/>
    <w:lvl w:ilvl="0" w:tplc="FED4B7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E933C1"/>
    <w:multiLevelType w:val="hybridMultilevel"/>
    <w:tmpl w:val="99221C3C"/>
    <w:lvl w:ilvl="0" w:tplc="307A48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2C42EA"/>
    <w:multiLevelType w:val="hybridMultilevel"/>
    <w:tmpl w:val="41EA1406"/>
    <w:lvl w:ilvl="0" w:tplc="F42252FE">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63496B"/>
    <w:multiLevelType w:val="hybridMultilevel"/>
    <w:tmpl w:val="4B30E412"/>
    <w:lvl w:ilvl="0" w:tplc="FEEE7A6A">
      <w:start w:val="1"/>
      <w:numFmt w:val="lowerRoman"/>
      <w:lvlText w:val="%1."/>
      <w:lvlJc w:val="left"/>
      <w:pPr>
        <w:ind w:left="1080" w:hanging="720"/>
      </w:pPr>
      <w:rPr>
        <w:rFonts w:hint="default"/>
      </w:rPr>
    </w:lvl>
    <w:lvl w:ilvl="1" w:tplc="4556750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44594A"/>
    <w:multiLevelType w:val="hybridMultilevel"/>
    <w:tmpl w:val="FBF9AB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E8B5EF7"/>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1835510"/>
    <w:multiLevelType w:val="hybridMultilevel"/>
    <w:tmpl w:val="7F28A4B8"/>
    <w:lvl w:ilvl="0" w:tplc="25A44636">
      <w:start w:val="1"/>
      <w:numFmt w:val="decimal"/>
      <w:lvlText w:val="%1."/>
      <w:lvlJc w:val="left"/>
      <w:pPr>
        <w:tabs>
          <w:tab w:val="num" w:pos="720"/>
        </w:tabs>
        <w:ind w:left="720" w:hanging="720"/>
      </w:p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18E6D06"/>
    <w:multiLevelType w:val="hybridMultilevel"/>
    <w:tmpl w:val="2AF086BC"/>
    <w:lvl w:ilvl="0" w:tplc="72B61182">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06439"/>
    <w:multiLevelType w:val="hybridMultilevel"/>
    <w:tmpl w:val="6DB4F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935A4A"/>
    <w:multiLevelType w:val="hybridMultilevel"/>
    <w:tmpl w:val="B236346C"/>
    <w:lvl w:ilvl="0" w:tplc="766EF760">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355EB3"/>
    <w:multiLevelType w:val="hybridMultilevel"/>
    <w:tmpl w:val="357A07D6"/>
    <w:lvl w:ilvl="0" w:tplc="034E1250">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D961AC1"/>
    <w:multiLevelType w:val="hybridMultilevel"/>
    <w:tmpl w:val="7B08629C"/>
    <w:lvl w:ilvl="0" w:tplc="83FCFC5E">
      <w:start w:val="1"/>
      <w:numFmt w:val="decimal"/>
      <w:lvlText w:val="%1."/>
      <w:lvlJc w:val="left"/>
      <w:pPr>
        <w:tabs>
          <w:tab w:val="num" w:pos="540"/>
        </w:tabs>
        <w:ind w:left="540" w:hanging="360"/>
      </w:pPr>
      <w:rPr>
        <w:rFonts w:hint="default"/>
        <w:b w:val="0"/>
        <w:i w:val="0"/>
        <w:color w:val="auto"/>
      </w:r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976661"/>
    <w:multiLevelType w:val="hybridMultilevel"/>
    <w:tmpl w:val="AB8463EC"/>
    <w:lvl w:ilvl="0" w:tplc="C080603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FD08C7"/>
    <w:multiLevelType w:val="hybridMultilevel"/>
    <w:tmpl w:val="7EB4409E"/>
    <w:lvl w:ilvl="0" w:tplc="66BE212E">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1E30AA1"/>
    <w:multiLevelType w:val="hybridMultilevel"/>
    <w:tmpl w:val="B2B8E284"/>
    <w:lvl w:ilvl="0" w:tplc="FED4B78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FED4B788">
      <w:numFmt w:val="bullet"/>
      <w:lvlText w:val="-"/>
      <w:lvlJc w:val="left"/>
      <w:pPr>
        <w:ind w:left="5400" w:hanging="360"/>
      </w:pPr>
      <w:rPr>
        <w:rFonts w:ascii="Times New Roman" w:eastAsia="Times New Roman" w:hAnsi="Times New Roman" w:cs="Times New Roman"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3712AA9"/>
    <w:multiLevelType w:val="hybridMultilevel"/>
    <w:tmpl w:val="D390F1E2"/>
    <w:lvl w:ilvl="0" w:tplc="CD889260">
      <w:start w:val="2"/>
      <w:numFmt w:val="lowerLetter"/>
      <w:lvlText w:val="%1."/>
      <w:lvlJc w:val="left"/>
      <w:pPr>
        <w:ind w:left="1080" w:hanging="360"/>
      </w:pPr>
      <w:rPr>
        <w:rFonts w:hint="default"/>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4666FC2"/>
    <w:multiLevelType w:val="hybridMultilevel"/>
    <w:tmpl w:val="57A267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41526C"/>
    <w:multiLevelType w:val="hybridMultilevel"/>
    <w:tmpl w:val="B236346C"/>
    <w:lvl w:ilvl="0" w:tplc="766EF760">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A3A0C1B"/>
    <w:multiLevelType w:val="hybridMultilevel"/>
    <w:tmpl w:val="B236346C"/>
    <w:lvl w:ilvl="0" w:tplc="766EF760">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F1C4B1B"/>
    <w:multiLevelType w:val="hybridMultilevel"/>
    <w:tmpl w:val="64D4ABE0"/>
    <w:lvl w:ilvl="0" w:tplc="0450AF04">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nsid w:val="433F7F96"/>
    <w:multiLevelType w:val="hybridMultilevel"/>
    <w:tmpl w:val="00F61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86A4682"/>
    <w:multiLevelType w:val="hybridMultilevel"/>
    <w:tmpl w:val="78C8EF82"/>
    <w:lvl w:ilvl="0" w:tplc="D31A2F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3760E8"/>
    <w:multiLevelType w:val="hybridMultilevel"/>
    <w:tmpl w:val="E3CA65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B73578"/>
    <w:multiLevelType w:val="hybridMultilevel"/>
    <w:tmpl w:val="0A7ED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DE52001"/>
    <w:multiLevelType w:val="hybridMultilevel"/>
    <w:tmpl w:val="4DA05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E761DA"/>
    <w:multiLevelType w:val="hybridMultilevel"/>
    <w:tmpl w:val="49F49E22"/>
    <w:lvl w:ilvl="0" w:tplc="D79053E8">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3">
    <w:nsid w:val="504F367B"/>
    <w:multiLevelType w:val="hybridMultilevel"/>
    <w:tmpl w:val="6784AC44"/>
    <w:lvl w:ilvl="0" w:tplc="766EF760">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6333BAB"/>
    <w:multiLevelType w:val="hybridMultilevel"/>
    <w:tmpl w:val="E5F20360"/>
    <w:lvl w:ilvl="0" w:tplc="E1421CCA">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4F7F37"/>
    <w:multiLevelType w:val="hybridMultilevel"/>
    <w:tmpl w:val="6284E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C590FD1"/>
    <w:multiLevelType w:val="hybridMultilevel"/>
    <w:tmpl w:val="41FE40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413F09"/>
    <w:multiLevelType w:val="hybridMultilevel"/>
    <w:tmpl w:val="F80EE3AC"/>
    <w:lvl w:ilvl="0" w:tplc="CC626900">
      <w:start w:val="1"/>
      <w:numFmt w:val="decimal"/>
      <w:lvlText w:val="%1."/>
      <w:lvlJc w:val="left"/>
      <w:pPr>
        <w:tabs>
          <w:tab w:val="num" w:pos="360"/>
        </w:tabs>
        <w:ind w:left="360" w:hanging="360"/>
      </w:pPr>
      <w:rPr>
        <w:rFonts w:hint="default"/>
        <w:b w:val="0"/>
        <w:i w:val="0"/>
        <w:color w:val="000000"/>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BCD60060">
      <w:start w:val="1"/>
      <w:numFmt w:val="lowerLetter"/>
      <w:lvlText w:val="%6)"/>
      <w:lvlJc w:val="left"/>
      <w:pPr>
        <w:ind w:left="2340" w:hanging="360"/>
      </w:pPr>
      <w:rPr>
        <w:rFonts w:hint="default"/>
      </w:rPr>
    </w:lvl>
    <w:lvl w:ilvl="6" w:tplc="F3EC48C8">
      <w:numFmt w:val="bullet"/>
      <w:lvlText w:val="-"/>
      <w:lvlJc w:val="left"/>
      <w:pPr>
        <w:ind w:left="2880" w:hanging="360"/>
      </w:pPr>
      <w:rPr>
        <w:rFonts w:ascii="Times New Roman" w:eastAsia="Times New Roman" w:hAnsi="Times New Roman" w:cs="Times New Roman" w:hint="default"/>
      </w:r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39">
    <w:nsid w:val="63073F51"/>
    <w:multiLevelType w:val="hybridMultilevel"/>
    <w:tmpl w:val="76AAC4F2"/>
    <w:lvl w:ilvl="0" w:tplc="8A08BC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2453ED"/>
    <w:multiLevelType w:val="hybridMultilevel"/>
    <w:tmpl w:val="3E40A9E4"/>
    <w:lvl w:ilvl="0" w:tplc="F39A0A9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936602A"/>
    <w:multiLevelType w:val="hybridMultilevel"/>
    <w:tmpl w:val="CFBAB4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AA27E66"/>
    <w:multiLevelType w:val="hybridMultilevel"/>
    <w:tmpl w:val="449C6054"/>
    <w:lvl w:ilvl="0" w:tplc="45BCA81A">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45BCA81A">
      <w:start w:val="2"/>
      <w:numFmt w:val="bullet"/>
      <w:lvlText w:val="-"/>
      <w:lvlJc w:val="left"/>
      <w:pPr>
        <w:ind w:left="4680" w:hanging="360"/>
      </w:pPr>
      <w:rPr>
        <w:rFonts w:ascii="Times New Roman" w:eastAsia="Times New Roman" w:hAnsi="Times New Roman"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BBB057F"/>
    <w:multiLevelType w:val="hybridMultilevel"/>
    <w:tmpl w:val="4DD43380"/>
    <w:lvl w:ilvl="0" w:tplc="68BEA04E">
      <w:start w:val="1"/>
      <w:numFmt w:val="decimal"/>
      <w:lvlText w:val="%1."/>
      <w:lvlJc w:val="left"/>
      <w:pPr>
        <w:tabs>
          <w:tab w:val="num" w:pos="810"/>
        </w:tabs>
        <w:ind w:left="810" w:hanging="360"/>
      </w:pPr>
      <w:rPr>
        <w:rFonts w:hint="default"/>
        <w:b w:val="0"/>
        <w:i w:val="0"/>
        <w:color w:val="000000"/>
        <w:sz w:val="24"/>
        <w:szCs w:val="24"/>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BCD60060">
      <w:start w:val="1"/>
      <w:numFmt w:val="lowerLetter"/>
      <w:lvlText w:val="%6)"/>
      <w:lvlJc w:val="left"/>
      <w:pPr>
        <w:ind w:left="2340" w:hanging="360"/>
      </w:pPr>
      <w:rPr>
        <w:rFonts w:hint="default"/>
      </w:rPr>
    </w:lvl>
    <w:lvl w:ilvl="6" w:tplc="04090001">
      <w:start w:val="1"/>
      <w:numFmt w:val="bullet"/>
      <w:lvlText w:val=""/>
      <w:lvlJc w:val="left"/>
      <w:pPr>
        <w:ind w:left="2880" w:hanging="360"/>
      </w:pPr>
      <w:rPr>
        <w:rFonts w:ascii="Symbol" w:hAnsi="Symbol" w:hint="default"/>
      </w:r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4">
    <w:nsid w:val="7E9039FF"/>
    <w:multiLevelType w:val="hybridMultilevel"/>
    <w:tmpl w:val="6BE000B4"/>
    <w:lvl w:ilvl="0" w:tplc="BDE233CA">
      <w:start w:val="1"/>
      <w:numFmt w:val="upperRoman"/>
      <w:lvlText w:val="%1."/>
      <w:lvlJc w:val="left"/>
      <w:pPr>
        <w:ind w:left="1080" w:hanging="720"/>
      </w:pPr>
      <w:rPr>
        <w:rFonts w:hint="default"/>
      </w:rPr>
    </w:lvl>
    <w:lvl w:ilvl="1" w:tplc="97F6429A">
      <w:start w:val="1"/>
      <w:numFmt w:val="decimal"/>
      <w:lvlText w:val="%2."/>
      <w:lvlJc w:val="left"/>
      <w:pPr>
        <w:tabs>
          <w:tab w:val="num" w:pos="1440"/>
        </w:tabs>
        <w:ind w:left="144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10"/>
  </w:num>
  <w:num w:numId="4">
    <w:abstractNumId w:val="14"/>
  </w:num>
  <w:num w:numId="5">
    <w:abstractNumId w:val="43"/>
  </w:num>
  <w:num w:numId="6">
    <w:abstractNumId w:val="24"/>
  </w:num>
  <w:num w:numId="7">
    <w:abstractNumId w:val="20"/>
  </w:num>
  <w:num w:numId="8">
    <w:abstractNumId w:val="41"/>
  </w:num>
  <w:num w:numId="9">
    <w:abstractNumId w:val="3"/>
  </w:num>
  <w:num w:numId="10">
    <w:abstractNumId w:val="35"/>
  </w:num>
  <w:num w:numId="11">
    <w:abstractNumId w:val="26"/>
  </w:num>
  <w:num w:numId="12">
    <w:abstractNumId w:val="6"/>
  </w:num>
  <w:num w:numId="13">
    <w:abstractNumId w:val="15"/>
  </w:num>
  <w:num w:numId="14">
    <w:abstractNumId w:val="28"/>
  </w:num>
  <w:num w:numId="15">
    <w:abstractNumId w:val="36"/>
  </w:num>
  <w:num w:numId="16">
    <w:abstractNumId w:val="30"/>
  </w:num>
  <w:num w:numId="17">
    <w:abstractNumId w:val="0"/>
  </w:num>
  <w:num w:numId="18">
    <w:abstractNumId w:val="12"/>
  </w:num>
  <w:num w:numId="19">
    <w:abstractNumId w:val="40"/>
  </w:num>
  <w:num w:numId="20">
    <w:abstractNumId w:val="22"/>
  </w:num>
  <w:num w:numId="21">
    <w:abstractNumId w:val="4"/>
  </w:num>
  <w:num w:numId="22">
    <w:abstractNumId w:val="8"/>
  </w:num>
  <w:num w:numId="23">
    <w:abstractNumId w:val="39"/>
  </w:num>
  <w:num w:numId="24">
    <w:abstractNumId w:val="7"/>
  </w:num>
  <w:num w:numId="25">
    <w:abstractNumId w:val="18"/>
  </w:num>
  <w:num w:numId="26">
    <w:abstractNumId w:val="29"/>
  </w:num>
  <w:num w:numId="27">
    <w:abstractNumId w:val="42"/>
  </w:num>
  <w:num w:numId="28">
    <w:abstractNumId w:val="31"/>
  </w:num>
  <w:num w:numId="29">
    <w:abstractNumId w:val="34"/>
  </w:num>
  <w:num w:numId="30">
    <w:abstractNumId w:val="21"/>
  </w:num>
  <w:num w:numId="31">
    <w:abstractNumId w:val="32"/>
  </w:num>
  <w:num w:numId="32">
    <w:abstractNumId w:val="38"/>
  </w:num>
  <w:num w:numId="33">
    <w:abstractNumId w:val="5"/>
  </w:num>
  <w:num w:numId="34">
    <w:abstractNumId w:val="23"/>
  </w:num>
  <w:num w:numId="35">
    <w:abstractNumId w:val="19"/>
  </w:num>
  <w:num w:numId="36">
    <w:abstractNumId w:val="37"/>
  </w:num>
  <w:num w:numId="37">
    <w:abstractNumId w:val="2"/>
  </w:num>
  <w:num w:numId="38">
    <w:abstractNumId w:val="1"/>
  </w:num>
  <w:num w:numId="39">
    <w:abstractNumId w:val="11"/>
  </w:num>
  <w:num w:numId="40">
    <w:abstractNumId w:val="16"/>
  </w:num>
  <w:num w:numId="41">
    <w:abstractNumId w:val="25"/>
  </w:num>
  <w:num w:numId="42">
    <w:abstractNumId w:val="33"/>
  </w:num>
  <w:num w:numId="43">
    <w:abstractNumId w:val="17"/>
  </w:num>
  <w:num w:numId="44">
    <w:abstractNumId w:val="9"/>
  </w:num>
  <w:num w:numId="4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readOnly" w:enforcement="0"/>
  <w:defaultTabStop w:val="720"/>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262B44"/>
    <w:rsid w:val="00003EE4"/>
    <w:rsid w:val="0000536C"/>
    <w:rsid w:val="00005EDC"/>
    <w:rsid w:val="0000633A"/>
    <w:rsid w:val="00012218"/>
    <w:rsid w:val="000204B4"/>
    <w:rsid w:val="00025BD8"/>
    <w:rsid w:val="00025D67"/>
    <w:rsid w:val="00033882"/>
    <w:rsid w:val="000371C6"/>
    <w:rsid w:val="00041AD7"/>
    <w:rsid w:val="00056A99"/>
    <w:rsid w:val="00057B23"/>
    <w:rsid w:val="00060347"/>
    <w:rsid w:val="00064E34"/>
    <w:rsid w:val="000704D7"/>
    <w:rsid w:val="000709F0"/>
    <w:rsid w:val="00074F08"/>
    <w:rsid w:val="00076936"/>
    <w:rsid w:val="00077DE9"/>
    <w:rsid w:val="000824E1"/>
    <w:rsid w:val="00082A8A"/>
    <w:rsid w:val="000850E6"/>
    <w:rsid w:val="000852EC"/>
    <w:rsid w:val="00092686"/>
    <w:rsid w:val="00092903"/>
    <w:rsid w:val="00094FA3"/>
    <w:rsid w:val="00095637"/>
    <w:rsid w:val="000A1BE7"/>
    <w:rsid w:val="000A4C40"/>
    <w:rsid w:val="000A6899"/>
    <w:rsid w:val="000A7439"/>
    <w:rsid w:val="000B036D"/>
    <w:rsid w:val="000B46F6"/>
    <w:rsid w:val="000B5C31"/>
    <w:rsid w:val="000B7F73"/>
    <w:rsid w:val="000C579C"/>
    <w:rsid w:val="000C5E5F"/>
    <w:rsid w:val="000C6F6E"/>
    <w:rsid w:val="000D0543"/>
    <w:rsid w:val="000D08E1"/>
    <w:rsid w:val="000D0C46"/>
    <w:rsid w:val="000D21A8"/>
    <w:rsid w:val="000D5BCF"/>
    <w:rsid w:val="000E23B6"/>
    <w:rsid w:val="000E761D"/>
    <w:rsid w:val="000F013A"/>
    <w:rsid w:val="000F5132"/>
    <w:rsid w:val="000F595E"/>
    <w:rsid w:val="000F69A4"/>
    <w:rsid w:val="000F7E70"/>
    <w:rsid w:val="001003BC"/>
    <w:rsid w:val="001018B0"/>
    <w:rsid w:val="0010688C"/>
    <w:rsid w:val="00113F3F"/>
    <w:rsid w:val="001162A3"/>
    <w:rsid w:val="0012456C"/>
    <w:rsid w:val="0012508E"/>
    <w:rsid w:val="00132831"/>
    <w:rsid w:val="00133F08"/>
    <w:rsid w:val="001350FB"/>
    <w:rsid w:val="001403C2"/>
    <w:rsid w:val="001449C9"/>
    <w:rsid w:val="001460E1"/>
    <w:rsid w:val="001467F6"/>
    <w:rsid w:val="0014767A"/>
    <w:rsid w:val="00150876"/>
    <w:rsid w:val="001512A5"/>
    <w:rsid w:val="00157C80"/>
    <w:rsid w:val="0016154E"/>
    <w:rsid w:val="00164407"/>
    <w:rsid w:val="00164F47"/>
    <w:rsid w:val="001727C1"/>
    <w:rsid w:val="00173F75"/>
    <w:rsid w:val="0017646A"/>
    <w:rsid w:val="001775D8"/>
    <w:rsid w:val="001852D9"/>
    <w:rsid w:val="00191948"/>
    <w:rsid w:val="00192AA7"/>
    <w:rsid w:val="00193C1B"/>
    <w:rsid w:val="00194191"/>
    <w:rsid w:val="0019447A"/>
    <w:rsid w:val="00194800"/>
    <w:rsid w:val="00195649"/>
    <w:rsid w:val="00197556"/>
    <w:rsid w:val="001A08B0"/>
    <w:rsid w:val="001A1815"/>
    <w:rsid w:val="001A67D1"/>
    <w:rsid w:val="001B187A"/>
    <w:rsid w:val="001B4BF5"/>
    <w:rsid w:val="001B4F35"/>
    <w:rsid w:val="001B798E"/>
    <w:rsid w:val="001B7E46"/>
    <w:rsid w:val="001C0F0F"/>
    <w:rsid w:val="001C2229"/>
    <w:rsid w:val="001D143B"/>
    <w:rsid w:val="001D45F5"/>
    <w:rsid w:val="001D6453"/>
    <w:rsid w:val="001D7C7D"/>
    <w:rsid w:val="001E09E7"/>
    <w:rsid w:val="001E2A7D"/>
    <w:rsid w:val="001E4540"/>
    <w:rsid w:val="001E6336"/>
    <w:rsid w:val="00200754"/>
    <w:rsid w:val="00207EF6"/>
    <w:rsid w:val="00211398"/>
    <w:rsid w:val="002119C2"/>
    <w:rsid w:val="00213E49"/>
    <w:rsid w:val="002152A2"/>
    <w:rsid w:val="002201E7"/>
    <w:rsid w:val="00222D2F"/>
    <w:rsid w:val="0022343B"/>
    <w:rsid w:val="0022364D"/>
    <w:rsid w:val="002264BF"/>
    <w:rsid w:val="00227FA6"/>
    <w:rsid w:val="00230DC1"/>
    <w:rsid w:val="0023308F"/>
    <w:rsid w:val="00233A88"/>
    <w:rsid w:val="00237381"/>
    <w:rsid w:val="0024300A"/>
    <w:rsid w:val="00246DFE"/>
    <w:rsid w:val="00247D5A"/>
    <w:rsid w:val="00253246"/>
    <w:rsid w:val="0025400A"/>
    <w:rsid w:val="002579EE"/>
    <w:rsid w:val="002609E5"/>
    <w:rsid w:val="00262B44"/>
    <w:rsid w:val="00263801"/>
    <w:rsid w:val="002649C2"/>
    <w:rsid w:val="00266205"/>
    <w:rsid w:val="002767A4"/>
    <w:rsid w:val="002817D5"/>
    <w:rsid w:val="00281FB3"/>
    <w:rsid w:val="00284160"/>
    <w:rsid w:val="002862F4"/>
    <w:rsid w:val="0028681E"/>
    <w:rsid w:val="00292038"/>
    <w:rsid w:val="002A02E5"/>
    <w:rsid w:val="002A2F09"/>
    <w:rsid w:val="002A59F7"/>
    <w:rsid w:val="002B3D61"/>
    <w:rsid w:val="002C4A3F"/>
    <w:rsid w:val="002C6F68"/>
    <w:rsid w:val="002D2884"/>
    <w:rsid w:val="002D4F8F"/>
    <w:rsid w:val="002E28B8"/>
    <w:rsid w:val="002E3BC3"/>
    <w:rsid w:val="002E5F91"/>
    <w:rsid w:val="002F65A0"/>
    <w:rsid w:val="002F7F47"/>
    <w:rsid w:val="003006B3"/>
    <w:rsid w:val="003041D0"/>
    <w:rsid w:val="003064B6"/>
    <w:rsid w:val="00310F91"/>
    <w:rsid w:val="003261AD"/>
    <w:rsid w:val="00327C8D"/>
    <w:rsid w:val="00333CD6"/>
    <w:rsid w:val="00335D64"/>
    <w:rsid w:val="003409AA"/>
    <w:rsid w:val="00342A11"/>
    <w:rsid w:val="0034364D"/>
    <w:rsid w:val="003472C6"/>
    <w:rsid w:val="00350C81"/>
    <w:rsid w:val="00351324"/>
    <w:rsid w:val="00354676"/>
    <w:rsid w:val="00354D0A"/>
    <w:rsid w:val="00355DCC"/>
    <w:rsid w:val="00361768"/>
    <w:rsid w:val="0036768F"/>
    <w:rsid w:val="00367EF9"/>
    <w:rsid w:val="00370EF9"/>
    <w:rsid w:val="00372A92"/>
    <w:rsid w:val="0037385F"/>
    <w:rsid w:val="003779E4"/>
    <w:rsid w:val="003805C9"/>
    <w:rsid w:val="00390653"/>
    <w:rsid w:val="003936AC"/>
    <w:rsid w:val="00393E8D"/>
    <w:rsid w:val="003A2D4B"/>
    <w:rsid w:val="003A3E9C"/>
    <w:rsid w:val="003A44A0"/>
    <w:rsid w:val="003A5E2D"/>
    <w:rsid w:val="003B1C80"/>
    <w:rsid w:val="003B7803"/>
    <w:rsid w:val="003C1B87"/>
    <w:rsid w:val="003C341F"/>
    <w:rsid w:val="003C39D4"/>
    <w:rsid w:val="003C6352"/>
    <w:rsid w:val="003C6DFA"/>
    <w:rsid w:val="003D4315"/>
    <w:rsid w:val="003E0555"/>
    <w:rsid w:val="003E2A7A"/>
    <w:rsid w:val="003E74BC"/>
    <w:rsid w:val="003F4ACC"/>
    <w:rsid w:val="00405647"/>
    <w:rsid w:val="004073C4"/>
    <w:rsid w:val="00407B13"/>
    <w:rsid w:val="00414797"/>
    <w:rsid w:val="004223D7"/>
    <w:rsid w:val="004234FA"/>
    <w:rsid w:val="00431BB6"/>
    <w:rsid w:val="004326F7"/>
    <w:rsid w:val="00434BB6"/>
    <w:rsid w:val="00437834"/>
    <w:rsid w:val="00440E88"/>
    <w:rsid w:val="00443387"/>
    <w:rsid w:val="00451A85"/>
    <w:rsid w:val="00454AA4"/>
    <w:rsid w:val="00463159"/>
    <w:rsid w:val="00465885"/>
    <w:rsid w:val="00466E32"/>
    <w:rsid w:val="00467A47"/>
    <w:rsid w:val="00473F9B"/>
    <w:rsid w:val="0048726D"/>
    <w:rsid w:val="00491629"/>
    <w:rsid w:val="00491B79"/>
    <w:rsid w:val="004938F7"/>
    <w:rsid w:val="00495CD7"/>
    <w:rsid w:val="004961CD"/>
    <w:rsid w:val="004A14BD"/>
    <w:rsid w:val="004A2672"/>
    <w:rsid w:val="004A3362"/>
    <w:rsid w:val="004A4D91"/>
    <w:rsid w:val="004A5029"/>
    <w:rsid w:val="004A76CF"/>
    <w:rsid w:val="004B31C0"/>
    <w:rsid w:val="004B3BEC"/>
    <w:rsid w:val="004C0553"/>
    <w:rsid w:val="004C3ABE"/>
    <w:rsid w:val="004D28CE"/>
    <w:rsid w:val="004D3650"/>
    <w:rsid w:val="004D4694"/>
    <w:rsid w:val="004D4DDE"/>
    <w:rsid w:val="004D6B24"/>
    <w:rsid w:val="004E489C"/>
    <w:rsid w:val="004E48CA"/>
    <w:rsid w:val="004F19FC"/>
    <w:rsid w:val="004F231E"/>
    <w:rsid w:val="004F6630"/>
    <w:rsid w:val="00503727"/>
    <w:rsid w:val="005041B4"/>
    <w:rsid w:val="00505C47"/>
    <w:rsid w:val="00505ECC"/>
    <w:rsid w:val="00512BF7"/>
    <w:rsid w:val="00514229"/>
    <w:rsid w:val="005142CD"/>
    <w:rsid w:val="00514A7A"/>
    <w:rsid w:val="00514B07"/>
    <w:rsid w:val="005200EF"/>
    <w:rsid w:val="00523386"/>
    <w:rsid w:val="005257F4"/>
    <w:rsid w:val="0052586F"/>
    <w:rsid w:val="005308AC"/>
    <w:rsid w:val="00531C92"/>
    <w:rsid w:val="00535E93"/>
    <w:rsid w:val="00535FD4"/>
    <w:rsid w:val="00536252"/>
    <w:rsid w:val="005365BB"/>
    <w:rsid w:val="0054280D"/>
    <w:rsid w:val="005430D4"/>
    <w:rsid w:val="00544F56"/>
    <w:rsid w:val="00545A64"/>
    <w:rsid w:val="0055213A"/>
    <w:rsid w:val="00552EDF"/>
    <w:rsid w:val="00553EDA"/>
    <w:rsid w:val="005551E0"/>
    <w:rsid w:val="00555EEB"/>
    <w:rsid w:val="00566A8A"/>
    <w:rsid w:val="0057413F"/>
    <w:rsid w:val="0057625F"/>
    <w:rsid w:val="005778E9"/>
    <w:rsid w:val="005803CA"/>
    <w:rsid w:val="00582181"/>
    <w:rsid w:val="005836D4"/>
    <w:rsid w:val="0058381B"/>
    <w:rsid w:val="00584113"/>
    <w:rsid w:val="005917EC"/>
    <w:rsid w:val="0059532D"/>
    <w:rsid w:val="005A21F6"/>
    <w:rsid w:val="005A5794"/>
    <w:rsid w:val="005A7791"/>
    <w:rsid w:val="005A7910"/>
    <w:rsid w:val="005B0E9C"/>
    <w:rsid w:val="005B13EE"/>
    <w:rsid w:val="005B1C23"/>
    <w:rsid w:val="005B5EAD"/>
    <w:rsid w:val="005B71F4"/>
    <w:rsid w:val="005B7FC4"/>
    <w:rsid w:val="005D0B5B"/>
    <w:rsid w:val="005D10AB"/>
    <w:rsid w:val="005D19AD"/>
    <w:rsid w:val="005D505A"/>
    <w:rsid w:val="005E02A7"/>
    <w:rsid w:val="005E362B"/>
    <w:rsid w:val="005E641C"/>
    <w:rsid w:val="005F686D"/>
    <w:rsid w:val="00606A13"/>
    <w:rsid w:val="00606C3D"/>
    <w:rsid w:val="00612EEF"/>
    <w:rsid w:val="006205AF"/>
    <w:rsid w:val="00620B0C"/>
    <w:rsid w:val="0062115B"/>
    <w:rsid w:val="00624581"/>
    <w:rsid w:val="006248A5"/>
    <w:rsid w:val="0062713A"/>
    <w:rsid w:val="00627719"/>
    <w:rsid w:val="00641824"/>
    <w:rsid w:val="00646374"/>
    <w:rsid w:val="00647751"/>
    <w:rsid w:val="0065137B"/>
    <w:rsid w:val="00657746"/>
    <w:rsid w:val="00665AB4"/>
    <w:rsid w:val="00666D9E"/>
    <w:rsid w:val="006671A9"/>
    <w:rsid w:val="00667D22"/>
    <w:rsid w:val="00672EBE"/>
    <w:rsid w:val="00674233"/>
    <w:rsid w:val="00675592"/>
    <w:rsid w:val="00687ACD"/>
    <w:rsid w:val="006906A3"/>
    <w:rsid w:val="006946F9"/>
    <w:rsid w:val="00694ABA"/>
    <w:rsid w:val="00696442"/>
    <w:rsid w:val="006964C6"/>
    <w:rsid w:val="006A1710"/>
    <w:rsid w:val="006A7C1B"/>
    <w:rsid w:val="006B1183"/>
    <w:rsid w:val="006B77F1"/>
    <w:rsid w:val="006C32AC"/>
    <w:rsid w:val="006C6D94"/>
    <w:rsid w:val="006C7219"/>
    <w:rsid w:val="006D2468"/>
    <w:rsid w:val="006D3708"/>
    <w:rsid w:val="006D47D1"/>
    <w:rsid w:val="006D6DDA"/>
    <w:rsid w:val="006E1170"/>
    <w:rsid w:val="006E156E"/>
    <w:rsid w:val="006E2B68"/>
    <w:rsid w:val="006F04AC"/>
    <w:rsid w:val="006F09A7"/>
    <w:rsid w:val="006F185F"/>
    <w:rsid w:val="006F1E3C"/>
    <w:rsid w:val="006F4F29"/>
    <w:rsid w:val="00703CEB"/>
    <w:rsid w:val="00704732"/>
    <w:rsid w:val="007113B1"/>
    <w:rsid w:val="00712F51"/>
    <w:rsid w:val="00715413"/>
    <w:rsid w:val="00717EFD"/>
    <w:rsid w:val="00725F27"/>
    <w:rsid w:val="00726F79"/>
    <w:rsid w:val="007270F4"/>
    <w:rsid w:val="0074752D"/>
    <w:rsid w:val="0075125C"/>
    <w:rsid w:val="00752CBA"/>
    <w:rsid w:val="00754113"/>
    <w:rsid w:val="007551D8"/>
    <w:rsid w:val="007645ED"/>
    <w:rsid w:val="0076572E"/>
    <w:rsid w:val="00767CBA"/>
    <w:rsid w:val="00770367"/>
    <w:rsid w:val="00780319"/>
    <w:rsid w:val="00781C73"/>
    <w:rsid w:val="00784294"/>
    <w:rsid w:val="00784C56"/>
    <w:rsid w:val="00795BB4"/>
    <w:rsid w:val="00797D65"/>
    <w:rsid w:val="007A0F40"/>
    <w:rsid w:val="007A5CAC"/>
    <w:rsid w:val="007B03A4"/>
    <w:rsid w:val="007B1B76"/>
    <w:rsid w:val="007C36B5"/>
    <w:rsid w:val="007C49D1"/>
    <w:rsid w:val="007C502D"/>
    <w:rsid w:val="007C62D8"/>
    <w:rsid w:val="007C65E0"/>
    <w:rsid w:val="007D524B"/>
    <w:rsid w:val="007D65BE"/>
    <w:rsid w:val="007E039C"/>
    <w:rsid w:val="007E315A"/>
    <w:rsid w:val="007E3485"/>
    <w:rsid w:val="007F6026"/>
    <w:rsid w:val="007F656B"/>
    <w:rsid w:val="007F7B95"/>
    <w:rsid w:val="00807460"/>
    <w:rsid w:val="008163AC"/>
    <w:rsid w:val="00816B4C"/>
    <w:rsid w:val="00822C03"/>
    <w:rsid w:val="00826459"/>
    <w:rsid w:val="00831AA2"/>
    <w:rsid w:val="00850866"/>
    <w:rsid w:val="008576CD"/>
    <w:rsid w:val="008579AB"/>
    <w:rsid w:val="00860941"/>
    <w:rsid w:val="0086273F"/>
    <w:rsid w:val="00863205"/>
    <w:rsid w:val="008655D3"/>
    <w:rsid w:val="0087266C"/>
    <w:rsid w:val="00876471"/>
    <w:rsid w:val="0087751D"/>
    <w:rsid w:val="00877C85"/>
    <w:rsid w:val="0088164D"/>
    <w:rsid w:val="00885045"/>
    <w:rsid w:val="00887FE3"/>
    <w:rsid w:val="0089240E"/>
    <w:rsid w:val="00895F4A"/>
    <w:rsid w:val="00897AB3"/>
    <w:rsid w:val="008A1111"/>
    <w:rsid w:val="008A5198"/>
    <w:rsid w:val="008B08AD"/>
    <w:rsid w:val="008B2E9D"/>
    <w:rsid w:val="008B3F0E"/>
    <w:rsid w:val="008B4BDA"/>
    <w:rsid w:val="008B4E5B"/>
    <w:rsid w:val="008B5EC4"/>
    <w:rsid w:val="008B7A73"/>
    <w:rsid w:val="008C4164"/>
    <w:rsid w:val="008C5019"/>
    <w:rsid w:val="008C7DB9"/>
    <w:rsid w:val="008D065C"/>
    <w:rsid w:val="008D136A"/>
    <w:rsid w:val="008D7902"/>
    <w:rsid w:val="008E75E1"/>
    <w:rsid w:val="00901E52"/>
    <w:rsid w:val="009031E4"/>
    <w:rsid w:val="00911599"/>
    <w:rsid w:val="00911E27"/>
    <w:rsid w:val="00911EF6"/>
    <w:rsid w:val="00917A00"/>
    <w:rsid w:val="00917E87"/>
    <w:rsid w:val="00926E66"/>
    <w:rsid w:val="009326F1"/>
    <w:rsid w:val="00933129"/>
    <w:rsid w:val="009404D0"/>
    <w:rsid w:val="00955DB4"/>
    <w:rsid w:val="00960646"/>
    <w:rsid w:val="00962C64"/>
    <w:rsid w:val="009666AC"/>
    <w:rsid w:val="00970864"/>
    <w:rsid w:val="00971C83"/>
    <w:rsid w:val="00975CB4"/>
    <w:rsid w:val="00977B5A"/>
    <w:rsid w:val="00981667"/>
    <w:rsid w:val="00981E41"/>
    <w:rsid w:val="009846ED"/>
    <w:rsid w:val="0098491F"/>
    <w:rsid w:val="00987C22"/>
    <w:rsid w:val="00994207"/>
    <w:rsid w:val="00995F95"/>
    <w:rsid w:val="009A0019"/>
    <w:rsid w:val="009A1A66"/>
    <w:rsid w:val="009A466C"/>
    <w:rsid w:val="009B4837"/>
    <w:rsid w:val="009B4D35"/>
    <w:rsid w:val="009B66ED"/>
    <w:rsid w:val="009C28A7"/>
    <w:rsid w:val="009C2C61"/>
    <w:rsid w:val="009C5037"/>
    <w:rsid w:val="009C6338"/>
    <w:rsid w:val="009D3E7C"/>
    <w:rsid w:val="009D6992"/>
    <w:rsid w:val="009D7E10"/>
    <w:rsid w:val="009E0847"/>
    <w:rsid w:val="009E7983"/>
    <w:rsid w:val="009E7E60"/>
    <w:rsid w:val="009F2F33"/>
    <w:rsid w:val="009F5CA7"/>
    <w:rsid w:val="009F5E2F"/>
    <w:rsid w:val="00A05A86"/>
    <w:rsid w:val="00A05B20"/>
    <w:rsid w:val="00A05DAD"/>
    <w:rsid w:val="00A07DDA"/>
    <w:rsid w:val="00A16C77"/>
    <w:rsid w:val="00A16F56"/>
    <w:rsid w:val="00A24033"/>
    <w:rsid w:val="00A25273"/>
    <w:rsid w:val="00A25496"/>
    <w:rsid w:val="00A2756A"/>
    <w:rsid w:val="00A30137"/>
    <w:rsid w:val="00A303C6"/>
    <w:rsid w:val="00A31882"/>
    <w:rsid w:val="00A36817"/>
    <w:rsid w:val="00A37EF7"/>
    <w:rsid w:val="00A40976"/>
    <w:rsid w:val="00A40F98"/>
    <w:rsid w:val="00A42AEA"/>
    <w:rsid w:val="00A43AA7"/>
    <w:rsid w:val="00A445B9"/>
    <w:rsid w:val="00A44DE0"/>
    <w:rsid w:val="00A45258"/>
    <w:rsid w:val="00A47CBB"/>
    <w:rsid w:val="00A523B8"/>
    <w:rsid w:val="00A54CF4"/>
    <w:rsid w:val="00A54F53"/>
    <w:rsid w:val="00A5537A"/>
    <w:rsid w:val="00A628D5"/>
    <w:rsid w:val="00A63EDC"/>
    <w:rsid w:val="00A7361B"/>
    <w:rsid w:val="00A76DB6"/>
    <w:rsid w:val="00A813B6"/>
    <w:rsid w:val="00A82736"/>
    <w:rsid w:val="00A82979"/>
    <w:rsid w:val="00A82F90"/>
    <w:rsid w:val="00A84F50"/>
    <w:rsid w:val="00A86544"/>
    <w:rsid w:val="00A87786"/>
    <w:rsid w:val="00AA12FA"/>
    <w:rsid w:val="00AA1371"/>
    <w:rsid w:val="00AA5505"/>
    <w:rsid w:val="00AA5985"/>
    <w:rsid w:val="00AA5A55"/>
    <w:rsid w:val="00AB08FC"/>
    <w:rsid w:val="00AB5893"/>
    <w:rsid w:val="00AB676E"/>
    <w:rsid w:val="00AC1B54"/>
    <w:rsid w:val="00AC2BB9"/>
    <w:rsid w:val="00AC3009"/>
    <w:rsid w:val="00AC31D3"/>
    <w:rsid w:val="00AC77BA"/>
    <w:rsid w:val="00AD149E"/>
    <w:rsid w:val="00AD46F6"/>
    <w:rsid w:val="00AD5EFF"/>
    <w:rsid w:val="00AE2523"/>
    <w:rsid w:val="00AE3370"/>
    <w:rsid w:val="00AE4434"/>
    <w:rsid w:val="00AE4E0D"/>
    <w:rsid w:val="00AF1E02"/>
    <w:rsid w:val="00AF3695"/>
    <w:rsid w:val="00AF43E2"/>
    <w:rsid w:val="00AF457A"/>
    <w:rsid w:val="00AF51AB"/>
    <w:rsid w:val="00AF6CCA"/>
    <w:rsid w:val="00B0095F"/>
    <w:rsid w:val="00B029B6"/>
    <w:rsid w:val="00B04854"/>
    <w:rsid w:val="00B06BDD"/>
    <w:rsid w:val="00B07A6C"/>
    <w:rsid w:val="00B122A2"/>
    <w:rsid w:val="00B125A8"/>
    <w:rsid w:val="00B12B1D"/>
    <w:rsid w:val="00B130BE"/>
    <w:rsid w:val="00B130F6"/>
    <w:rsid w:val="00B2183A"/>
    <w:rsid w:val="00B21A61"/>
    <w:rsid w:val="00B241DA"/>
    <w:rsid w:val="00B25262"/>
    <w:rsid w:val="00B267B0"/>
    <w:rsid w:val="00B30986"/>
    <w:rsid w:val="00B3658C"/>
    <w:rsid w:val="00B36EDA"/>
    <w:rsid w:val="00B45652"/>
    <w:rsid w:val="00B50D01"/>
    <w:rsid w:val="00B53054"/>
    <w:rsid w:val="00B63B8A"/>
    <w:rsid w:val="00B67EAB"/>
    <w:rsid w:val="00B712F3"/>
    <w:rsid w:val="00B758A5"/>
    <w:rsid w:val="00B82DF3"/>
    <w:rsid w:val="00B85CE4"/>
    <w:rsid w:val="00B867ED"/>
    <w:rsid w:val="00B91501"/>
    <w:rsid w:val="00B96406"/>
    <w:rsid w:val="00BA0F5B"/>
    <w:rsid w:val="00BA2D7C"/>
    <w:rsid w:val="00BA4103"/>
    <w:rsid w:val="00BA50EA"/>
    <w:rsid w:val="00BA7506"/>
    <w:rsid w:val="00BB0999"/>
    <w:rsid w:val="00BB0B51"/>
    <w:rsid w:val="00BB0FC2"/>
    <w:rsid w:val="00BB4131"/>
    <w:rsid w:val="00BB6E48"/>
    <w:rsid w:val="00BC4065"/>
    <w:rsid w:val="00BC6AE9"/>
    <w:rsid w:val="00BC7A5C"/>
    <w:rsid w:val="00BD07E7"/>
    <w:rsid w:val="00BD0E45"/>
    <w:rsid w:val="00BD6F0B"/>
    <w:rsid w:val="00BE2B89"/>
    <w:rsid w:val="00BE2F16"/>
    <w:rsid w:val="00BE43F5"/>
    <w:rsid w:val="00BE444C"/>
    <w:rsid w:val="00BE6FAD"/>
    <w:rsid w:val="00BF051C"/>
    <w:rsid w:val="00C024A2"/>
    <w:rsid w:val="00C0452F"/>
    <w:rsid w:val="00C074FA"/>
    <w:rsid w:val="00C07964"/>
    <w:rsid w:val="00C20453"/>
    <w:rsid w:val="00C2799A"/>
    <w:rsid w:val="00C306F7"/>
    <w:rsid w:val="00C319C9"/>
    <w:rsid w:val="00C36539"/>
    <w:rsid w:val="00C42B65"/>
    <w:rsid w:val="00C51A3C"/>
    <w:rsid w:val="00C51B29"/>
    <w:rsid w:val="00C526FF"/>
    <w:rsid w:val="00C546F6"/>
    <w:rsid w:val="00C60023"/>
    <w:rsid w:val="00C67939"/>
    <w:rsid w:val="00C723D5"/>
    <w:rsid w:val="00C81172"/>
    <w:rsid w:val="00C8354E"/>
    <w:rsid w:val="00C86523"/>
    <w:rsid w:val="00C905F1"/>
    <w:rsid w:val="00C91DB9"/>
    <w:rsid w:val="00C96864"/>
    <w:rsid w:val="00CA0680"/>
    <w:rsid w:val="00CB3F97"/>
    <w:rsid w:val="00CB6545"/>
    <w:rsid w:val="00CB7C72"/>
    <w:rsid w:val="00CC21CD"/>
    <w:rsid w:val="00CC2755"/>
    <w:rsid w:val="00CC660B"/>
    <w:rsid w:val="00CC7B53"/>
    <w:rsid w:val="00CD0115"/>
    <w:rsid w:val="00CD3B32"/>
    <w:rsid w:val="00CD737D"/>
    <w:rsid w:val="00CE0B36"/>
    <w:rsid w:val="00CE1148"/>
    <w:rsid w:val="00CE382E"/>
    <w:rsid w:val="00CE4137"/>
    <w:rsid w:val="00CE7A08"/>
    <w:rsid w:val="00CF185F"/>
    <w:rsid w:val="00CF476A"/>
    <w:rsid w:val="00D04C96"/>
    <w:rsid w:val="00D0632C"/>
    <w:rsid w:val="00D112F1"/>
    <w:rsid w:val="00D16176"/>
    <w:rsid w:val="00D174EB"/>
    <w:rsid w:val="00D3290C"/>
    <w:rsid w:val="00D329BE"/>
    <w:rsid w:val="00D4014A"/>
    <w:rsid w:val="00D4251F"/>
    <w:rsid w:val="00D4456A"/>
    <w:rsid w:val="00D44B15"/>
    <w:rsid w:val="00D4567F"/>
    <w:rsid w:val="00D50CF5"/>
    <w:rsid w:val="00D5239B"/>
    <w:rsid w:val="00D526F6"/>
    <w:rsid w:val="00D63039"/>
    <w:rsid w:val="00D65E11"/>
    <w:rsid w:val="00D665DE"/>
    <w:rsid w:val="00D70475"/>
    <w:rsid w:val="00D75560"/>
    <w:rsid w:val="00D759B4"/>
    <w:rsid w:val="00D76B47"/>
    <w:rsid w:val="00D8534B"/>
    <w:rsid w:val="00D85B39"/>
    <w:rsid w:val="00D86045"/>
    <w:rsid w:val="00D91F29"/>
    <w:rsid w:val="00D92AAE"/>
    <w:rsid w:val="00D93FE8"/>
    <w:rsid w:val="00D94FD5"/>
    <w:rsid w:val="00D9577C"/>
    <w:rsid w:val="00DA3A28"/>
    <w:rsid w:val="00DB2E6D"/>
    <w:rsid w:val="00DB48D2"/>
    <w:rsid w:val="00DB77A0"/>
    <w:rsid w:val="00DC45A3"/>
    <w:rsid w:val="00DD0CA4"/>
    <w:rsid w:val="00DD3E1C"/>
    <w:rsid w:val="00DD464F"/>
    <w:rsid w:val="00DD7795"/>
    <w:rsid w:val="00DD7F16"/>
    <w:rsid w:val="00DE495B"/>
    <w:rsid w:val="00DF051A"/>
    <w:rsid w:val="00DF2EAB"/>
    <w:rsid w:val="00DF762D"/>
    <w:rsid w:val="00E03838"/>
    <w:rsid w:val="00E04C49"/>
    <w:rsid w:val="00E07B93"/>
    <w:rsid w:val="00E07C8C"/>
    <w:rsid w:val="00E1168E"/>
    <w:rsid w:val="00E17232"/>
    <w:rsid w:val="00E200BD"/>
    <w:rsid w:val="00E24173"/>
    <w:rsid w:val="00E30116"/>
    <w:rsid w:val="00E3163C"/>
    <w:rsid w:val="00E35231"/>
    <w:rsid w:val="00E37EC5"/>
    <w:rsid w:val="00E4269E"/>
    <w:rsid w:val="00E4594D"/>
    <w:rsid w:val="00E4625A"/>
    <w:rsid w:val="00E4729C"/>
    <w:rsid w:val="00E50312"/>
    <w:rsid w:val="00E521EC"/>
    <w:rsid w:val="00E62CDE"/>
    <w:rsid w:val="00E63DF9"/>
    <w:rsid w:val="00E6432E"/>
    <w:rsid w:val="00E67759"/>
    <w:rsid w:val="00E731CB"/>
    <w:rsid w:val="00E75490"/>
    <w:rsid w:val="00E772F9"/>
    <w:rsid w:val="00E825C6"/>
    <w:rsid w:val="00E94F63"/>
    <w:rsid w:val="00EA444F"/>
    <w:rsid w:val="00EB4B9B"/>
    <w:rsid w:val="00EC3ECF"/>
    <w:rsid w:val="00EC478A"/>
    <w:rsid w:val="00EC4F48"/>
    <w:rsid w:val="00EC55AC"/>
    <w:rsid w:val="00EC64DD"/>
    <w:rsid w:val="00ED23F7"/>
    <w:rsid w:val="00ED2AFB"/>
    <w:rsid w:val="00EE325F"/>
    <w:rsid w:val="00EE4D62"/>
    <w:rsid w:val="00EE56EC"/>
    <w:rsid w:val="00EF4259"/>
    <w:rsid w:val="00EF6822"/>
    <w:rsid w:val="00F01237"/>
    <w:rsid w:val="00F0164D"/>
    <w:rsid w:val="00F025DE"/>
    <w:rsid w:val="00F03599"/>
    <w:rsid w:val="00F03C66"/>
    <w:rsid w:val="00F04F5B"/>
    <w:rsid w:val="00F05731"/>
    <w:rsid w:val="00F1093F"/>
    <w:rsid w:val="00F15075"/>
    <w:rsid w:val="00F32622"/>
    <w:rsid w:val="00F3473D"/>
    <w:rsid w:val="00F3542E"/>
    <w:rsid w:val="00F379DF"/>
    <w:rsid w:val="00F456B4"/>
    <w:rsid w:val="00F5028B"/>
    <w:rsid w:val="00F507D8"/>
    <w:rsid w:val="00F52DB4"/>
    <w:rsid w:val="00F577F5"/>
    <w:rsid w:val="00F6275E"/>
    <w:rsid w:val="00F63AA1"/>
    <w:rsid w:val="00F65ABC"/>
    <w:rsid w:val="00F735F7"/>
    <w:rsid w:val="00F758A0"/>
    <w:rsid w:val="00F75C5A"/>
    <w:rsid w:val="00F77EED"/>
    <w:rsid w:val="00F8270B"/>
    <w:rsid w:val="00F833CC"/>
    <w:rsid w:val="00F852C2"/>
    <w:rsid w:val="00F87807"/>
    <w:rsid w:val="00F9009A"/>
    <w:rsid w:val="00F90496"/>
    <w:rsid w:val="00F92C88"/>
    <w:rsid w:val="00F96434"/>
    <w:rsid w:val="00F96FB1"/>
    <w:rsid w:val="00FA27C4"/>
    <w:rsid w:val="00FA46A8"/>
    <w:rsid w:val="00FA5B30"/>
    <w:rsid w:val="00FB157F"/>
    <w:rsid w:val="00FB3CCB"/>
    <w:rsid w:val="00FB641F"/>
    <w:rsid w:val="00FC3D4A"/>
    <w:rsid w:val="00FD05D6"/>
    <w:rsid w:val="00FD17B0"/>
    <w:rsid w:val="00FE2021"/>
    <w:rsid w:val="00FE24B3"/>
    <w:rsid w:val="00FE4CEF"/>
    <w:rsid w:val="00FE4F38"/>
    <w:rsid w:val="00FE5D67"/>
    <w:rsid w:val="00FF43CB"/>
    <w:rsid w:val="00FF6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A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rPr>
      <w:lang/>
    </w:rPr>
  </w:style>
  <w:style w:type="paragraph" w:styleId="Footer">
    <w:name w:val="footer"/>
    <w:basedOn w:val="Normal"/>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lang/>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character" w:customStyle="1" w:styleId="sb8d990e2">
    <w:name w:val="sb8d990e2"/>
    <w:basedOn w:val="DefaultParagraphFont"/>
    <w:rsid w:val="00A63EDC"/>
  </w:style>
  <w:style w:type="character" w:customStyle="1" w:styleId="s85f22697">
    <w:name w:val="s85f22697"/>
    <w:basedOn w:val="DefaultParagraphFont"/>
    <w:rsid w:val="002609E5"/>
  </w:style>
  <w:style w:type="character" w:customStyle="1" w:styleId="s6b621b36">
    <w:name w:val="s6b621b36"/>
    <w:basedOn w:val="DefaultParagraphFont"/>
    <w:rsid w:val="004F19FC"/>
  </w:style>
  <w:style w:type="character" w:styleId="Strong">
    <w:name w:val="Strong"/>
    <w:uiPriority w:val="22"/>
    <w:qFormat/>
    <w:rsid w:val="00EC478A"/>
    <w:rPr>
      <w:b/>
      <w:bCs/>
    </w:rPr>
  </w:style>
  <w:style w:type="character" w:customStyle="1" w:styleId="hps">
    <w:name w:val="hps"/>
    <w:basedOn w:val="DefaultParagraphFont"/>
    <w:rsid w:val="004223D7"/>
  </w:style>
  <w:style w:type="character" w:customStyle="1" w:styleId="shorttext">
    <w:name w:val="short_text"/>
    <w:basedOn w:val="DefaultParagraphFont"/>
    <w:rsid w:val="009846ED"/>
  </w:style>
  <w:style w:type="character" w:styleId="FollowedHyperlink">
    <w:name w:val="FollowedHyperlink"/>
    <w:rsid w:val="00092686"/>
    <w:rPr>
      <w:color w:val="800080"/>
      <w:u w:val="single"/>
    </w:rPr>
  </w:style>
  <w:style w:type="character" w:customStyle="1" w:styleId="s7d2086b4">
    <w:name w:val="s7d2086b4"/>
    <w:basedOn w:val="DefaultParagraphFont"/>
    <w:rsid w:val="002F65A0"/>
  </w:style>
  <w:style w:type="character" w:customStyle="1" w:styleId="wordhighlighted">
    <w:name w:val="wordhighlighted"/>
    <w:basedOn w:val="DefaultParagraphFont"/>
    <w:rsid w:val="00005EDC"/>
  </w:style>
  <w:style w:type="character" w:customStyle="1" w:styleId="column01">
    <w:name w:val="column01"/>
    <w:basedOn w:val="DefaultParagraphFont"/>
    <w:rsid w:val="00005EDC"/>
  </w:style>
  <w:style w:type="paragraph" w:customStyle="1" w:styleId="Normal1">
    <w:name w:val="Normal1"/>
    <w:basedOn w:val="Normal"/>
    <w:rsid w:val="00BE6FAD"/>
    <w:pPr>
      <w:spacing w:before="100" w:beforeAutospacing="1" w:after="100" w:afterAutospacing="1"/>
    </w:pPr>
  </w:style>
  <w:style w:type="character" w:customStyle="1" w:styleId="HeaderChar">
    <w:name w:val="Header Char"/>
    <w:link w:val="Header"/>
    <w:uiPriority w:val="99"/>
    <w:rsid w:val="00284160"/>
    <w:rPr>
      <w:sz w:val="24"/>
      <w:szCs w:val="24"/>
    </w:rPr>
  </w:style>
</w:styles>
</file>

<file path=word/webSettings.xml><?xml version="1.0" encoding="utf-8"?>
<w:webSettings xmlns:r="http://schemas.openxmlformats.org/officeDocument/2006/relationships" xmlns:w="http://schemas.openxmlformats.org/wordprocessingml/2006/main">
  <w:divs>
    <w:div w:id="273365346">
      <w:bodyDiv w:val="1"/>
      <w:marLeft w:val="0"/>
      <w:marRight w:val="0"/>
      <w:marTop w:val="0"/>
      <w:marBottom w:val="0"/>
      <w:divBdr>
        <w:top w:val="none" w:sz="0" w:space="0" w:color="auto"/>
        <w:left w:val="none" w:sz="0" w:space="0" w:color="auto"/>
        <w:bottom w:val="none" w:sz="0" w:space="0" w:color="auto"/>
        <w:right w:val="none" w:sz="0" w:space="0" w:color="auto"/>
      </w:divBdr>
      <w:divsChild>
        <w:div w:id="1802993300">
          <w:marLeft w:val="0"/>
          <w:marRight w:val="0"/>
          <w:marTop w:val="188"/>
          <w:marBottom w:val="188"/>
          <w:divBdr>
            <w:top w:val="none" w:sz="0" w:space="0" w:color="auto"/>
            <w:left w:val="none" w:sz="0" w:space="0" w:color="auto"/>
            <w:bottom w:val="none" w:sz="0" w:space="0" w:color="auto"/>
            <w:right w:val="none" w:sz="0" w:space="0" w:color="auto"/>
          </w:divBdr>
          <w:divsChild>
            <w:div w:id="847671730">
              <w:marLeft w:val="0"/>
              <w:marRight w:val="0"/>
              <w:marTop w:val="0"/>
              <w:marBottom w:val="63"/>
              <w:divBdr>
                <w:top w:val="none" w:sz="0" w:space="0" w:color="auto"/>
                <w:left w:val="none" w:sz="0" w:space="0" w:color="auto"/>
                <w:bottom w:val="none" w:sz="0" w:space="0" w:color="auto"/>
                <w:right w:val="none" w:sz="0" w:space="0" w:color="auto"/>
              </w:divBdr>
              <w:divsChild>
                <w:div w:id="20379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048008">
      <w:bodyDiv w:val="1"/>
      <w:marLeft w:val="0"/>
      <w:marRight w:val="0"/>
      <w:marTop w:val="0"/>
      <w:marBottom w:val="0"/>
      <w:divBdr>
        <w:top w:val="none" w:sz="0" w:space="0" w:color="auto"/>
        <w:left w:val="none" w:sz="0" w:space="0" w:color="auto"/>
        <w:bottom w:val="none" w:sz="0" w:space="0" w:color="auto"/>
        <w:right w:val="none" w:sz="0" w:space="0" w:color="auto"/>
      </w:divBdr>
      <w:divsChild>
        <w:div w:id="592515217">
          <w:marLeft w:val="0"/>
          <w:marRight w:val="0"/>
          <w:marTop w:val="0"/>
          <w:marBottom w:val="0"/>
          <w:divBdr>
            <w:top w:val="none" w:sz="0" w:space="0" w:color="auto"/>
            <w:left w:val="none" w:sz="0" w:space="0" w:color="auto"/>
            <w:bottom w:val="none" w:sz="0" w:space="0" w:color="auto"/>
            <w:right w:val="none" w:sz="0" w:space="0" w:color="auto"/>
          </w:divBdr>
          <w:divsChild>
            <w:div w:id="896862029">
              <w:marLeft w:val="0"/>
              <w:marRight w:val="0"/>
              <w:marTop w:val="0"/>
              <w:marBottom w:val="0"/>
              <w:divBdr>
                <w:top w:val="none" w:sz="0" w:space="0" w:color="auto"/>
                <w:left w:val="none" w:sz="0" w:space="0" w:color="auto"/>
                <w:bottom w:val="none" w:sz="0" w:space="0" w:color="auto"/>
                <w:right w:val="none" w:sz="0" w:space="0" w:color="auto"/>
              </w:divBdr>
              <w:divsChild>
                <w:div w:id="235093391">
                  <w:marLeft w:val="0"/>
                  <w:marRight w:val="0"/>
                  <w:marTop w:val="0"/>
                  <w:marBottom w:val="0"/>
                  <w:divBdr>
                    <w:top w:val="none" w:sz="0" w:space="0" w:color="auto"/>
                    <w:left w:val="none" w:sz="0" w:space="0" w:color="auto"/>
                    <w:bottom w:val="none" w:sz="0" w:space="0" w:color="auto"/>
                    <w:right w:val="none" w:sz="0" w:space="0" w:color="auto"/>
                  </w:divBdr>
                  <w:divsChild>
                    <w:div w:id="1556432141">
                      <w:marLeft w:val="0"/>
                      <w:marRight w:val="0"/>
                      <w:marTop w:val="0"/>
                      <w:marBottom w:val="0"/>
                      <w:divBdr>
                        <w:top w:val="none" w:sz="0" w:space="0" w:color="auto"/>
                        <w:left w:val="none" w:sz="0" w:space="0" w:color="auto"/>
                        <w:bottom w:val="none" w:sz="0" w:space="0" w:color="auto"/>
                        <w:right w:val="none" w:sz="0" w:space="0" w:color="auto"/>
                      </w:divBdr>
                      <w:divsChild>
                        <w:div w:id="900823484">
                          <w:marLeft w:val="0"/>
                          <w:marRight w:val="0"/>
                          <w:marTop w:val="0"/>
                          <w:marBottom w:val="0"/>
                          <w:divBdr>
                            <w:top w:val="none" w:sz="0" w:space="0" w:color="auto"/>
                            <w:left w:val="none" w:sz="0" w:space="0" w:color="auto"/>
                            <w:bottom w:val="none" w:sz="0" w:space="0" w:color="auto"/>
                            <w:right w:val="none" w:sz="0" w:space="0" w:color="auto"/>
                          </w:divBdr>
                          <w:divsChild>
                            <w:div w:id="1985812019">
                              <w:marLeft w:val="0"/>
                              <w:marRight w:val="0"/>
                              <w:marTop w:val="0"/>
                              <w:marBottom w:val="0"/>
                              <w:divBdr>
                                <w:top w:val="none" w:sz="0" w:space="0" w:color="auto"/>
                                <w:left w:val="none" w:sz="0" w:space="0" w:color="auto"/>
                                <w:bottom w:val="none" w:sz="0" w:space="0" w:color="auto"/>
                                <w:right w:val="none" w:sz="0" w:space="0" w:color="auto"/>
                              </w:divBdr>
                              <w:divsChild>
                                <w:div w:id="1634409180">
                                  <w:marLeft w:val="0"/>
                                  <w:marRight w:val="0"/>
                                  <w:marTop w:val="0"/>
                                  <w:marBottom w:val="0"/>
                                  <w:divBdr>
                                    <w:top w:val="none" w:sz="0" w:space="0" w:color="auto"/>
                                    <w:left w:val="none" w:sz="0" w:space="0" w:color="auto"/>
                                    <w:bottom w:val="none" w:sz="0" w:space="0" w:color="auto"/>
                                    <w:right w:val="none" w:sz="0" w:space="0" w:color="auto"/>
                                  </w:divBdr>
                                  <w:divsChild>
                                    <w:div w:id="1625500200">
                                      <w:marLeft w:val="0"/>
                                      <w:marRight w:val="0"/>
                                      <w:marTop w:val="0"/>
                                      <w:marBottom w:val="0"/>
                                      <w:divBdr>
                                        <w:top w:val="none" w:sz="0" w:space="0" w:color="auto"/>
                                        <w:left w:val="none" w:sz="0" w:space="0" w:color="auto"/>
                                        <w:bottom w:val="none" w:sz="0" w:space="0" w:color="auto"/>
                                        <w:right w:val="none" w:sz="0" w:space="0" w:color="auto"/>
                                      </w:divBdr>
                                      <w:divsChild>
                                        <w:div w:id="13632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2769069">
      <w:bodyDiv w:val="1"/>
      <w:marLeft w:val="0"/>
      <w:marRight w:val="0"/>
      <w:marTop w:val="0"/>
      <w:marBottom w:val="0"/>
      <w:divBdr>
        <w:top w:val="none" w:sz="0" w:space="0" w:color="auto"/>
        <w:left w:val="none" w:sz="0" w:space="0" w:color="auto"/>
        <w:bottom w:val="none" w:sz="0" w:space="0" w:color="auto"/>
        <w:right w:val="none" w:sz="0" w:space="0" w:color="auto"/>
      </w:divBdr>
      <w:divsChild>
        <w:div w:id="1689678694">
          <w:marLeft w:val="0"/>
          <w:marRight w:val="0"/>
          <w:marTop w:val="0"/>
          <w:marBottom w:val="0"/>
          <w:divBdr>
            <w:top w:val="none" w:sz="0" w:space="0" w:color="auto"/>
            <w:left w:val="none" w:sz="0" w:space="0" w:color="auto"/>
            <w:bottom w:val="none" w:sz="0" w:space="0" w:color="auto"/>
            <w:right w:val="none" w:sz="0" w:space="0" w:color="auto"/>
          </w:divBdr>
          <w:divsChild>
            <w:div w:id="652954902">
              <w:marLeft w:val="0"/>
              <w:marRight w:val="0"/>
              <w:marTop w:val="0"/>
              <w:marBottom w:val="0"/>
              <w:divBdr>
                <w:top w:val="none" w:sz="0" w:space="0" w:color="auto"/>
                <w:left w:val="none" w:sz="0" w:space="0" w:color="auto"/>
                <w:bottom w:val="none" w:sz="0" w:space="0" w:color="auto"/>
                <w:right w:val="none" w:sz="0" w:space="0" w:color="auto"/>
              </w:divBdr>
              <w:divsChild>
                <w:div w:id="1557625469">
                  <w:marLeft w:val="0"/>
                  <w:marRight w:val="0"/>
                  <w:marTop w:val="0"/>
                  <w:marBottom w:val="0"/>
                  <w:divBdr>
                    <w:top w:val="none" w:sz="0" w:space="0" w:color="auto"/>
                    <w:left w:val="none" w:sz="0" w:space="0" w:color="auto"/>
                    <w:bottom w:val="none" w:sz="0" w:space="0" w:color="auto"/>
                    <w:right w:val="none" w:sz="0" w:space="0" w:color="auto"/>
                  </w:divBdr>
                  <w:divsChild>
                    <w:div w:id="1330866202">
                      <w:marLeft w:val="0"/>
                      <w:marRight w:val="0"/>
                      <w:marTop w:val="0"/>
                      <w:marBottom w:val="0"/>
                      <w:divBdr>
                        <w:top w:val="none" w:sz="0" w:space="0" w:color="auto"/>
                        <w:left w:val="none" w:sz="0" w:space="0" w:color="auto"/>
                        <w:bottom w:val="none" w:sz="0" w:space="0" w:color="auto"/>
                        <w:right w:val="none" w:sz="0" w:space="0" w:color="auto"/>
                      </w:divBdr>
                      <w:divsChild>
                        <w:div w:id="1849100167">
                          <w:marLeft w:val="0"/>
                          <w:marRight w:val="0"/>
                          <w:marTop w:val="0"/>
                          <w:marBottom w:val="0"/>
                          <w:divBdr>
                            <w:top w:val="none" w:sz="0" w:space="0" w:color="auto"/>
                            <w:left w:val="none" w:sz="0" w:space="0" w:color="auto"/>
                            <w:bottom w:val="none" w:sz="0" w:space="0" w:color="auto"/>
                            <w:right w:val="none" w:sz="0" w:space="0" w:color="auto"/>
                          </w:divBdr>
                          <w:divsChild>
                            <w:div w:id="206845525">
                              <w:marLeft w:val="0"/>
                              <w:marRight w:val="0"/>
                              <w:marTop w:val="0"/>
                              <w:marBottom w:val="0"/>
                              <w:divBdr>
                                <w:top w:val="none" w:sz="0" w:space="0" w:color="auto"/>
                                <w:left w:val="none" w:sz="0" w:space="0" w:color="auto"/>
                                <w:bottom w:val="none" w:sz="0" w:space="0" w:color="auto"/>
                                <w:right w:val="none" w:sz="0" w:space="0" w:color="auto"/>
                              </w:divBdr>
                              <w:divsChild>
                                <w:div w:id="1442648686">
                                  <w:marLeft w:val="0"/>
                                  <w:marRight w:val="0"/>
                                  <w:marTop w:val="0"/>
                                  <w:marBottom w:val="0"/>
                                  <w:divBdr>
                                    <w:top w:val="none" w:sz="0" w:space="0" w:color="auto"/>
                                    <w:left w:val="none" w:sz="0" w:space="0" w:color="auto"/>
                                    <w:bottom w:val="none" w:sz="0" w:space="0" w:color="auto"/>
                                    <w:right w:val="none" w:sz="0" w:space="0" w:color="auto"/>
                                  </w:divBdr>
                                  <w:divsChild>
                                    <w:div w:id="1180461889">
                                      <w:marLeft w:val="0"/>
                                      <w:marRight w:val="0"/>
                                      <w:marTop w:val="0"/>
                                      <w:marBottom w:val="0"/>
                                      <w:divBdr>
                                        <w:top w:val="none" w:sz="0" w:space="0" w:color="auto"/>
                                        <w:left w:val="none" w:sz="0" w:space="0" w:color="auto"/>
                                        <w:bottom w:val="none" w:sz="0" w:space="0" w:color="auto"/>
                                        <w:right w:val="none" w:sz="0" w:space="0" w:color="auto"/>
                                      </w:divBdr>
                                      <w:divsChild>
                                        <w:div w:id="49206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254422">
      <w:bodyDiv w:val="1"/>
      <w:marLeft w:val="0"/>
      <w:marRight w:val="0"/>
      <w:marTop w:val="0"/>
      <w:marBottom w:val="0"/>
      <w:divBdr>
        <w:top w:val="none" w:sz="0" w:space="0" w:color="auto"/>
        <w:left w:val="none" w:sz="0" w:space="0" w:color="auto"/>
        <w:bottom w:val="none" w:sz="0" w:space="0" w:color="auto"/>
        <w:right w:val="none" w:sz="0" w:space="0" w:color="auto"/>
      </w:divBdr>
      <w:divsChild>
        <w:div w:id="499347435">
          <w:marLeft w:val="0"/>
          <w:marRight w:val="0"/>
          <w:marTop w:val="0"/>
          <w:marBottom w:val="0"/>
          <w:divBdr>
            <w:top w:val="none" w:sz="0" w:space="0" w:color="auto"/>
            <w:left w:val="none" w:sz="0" w:space="0" w:color="auto"/>
            <w:bottom w:val="none" w:sz="0" w:space="0" w:color="auto"/>
            <w:right w:val="none" w:sz="0" w:space="0" w:color="auto"/>
          </w:divBdr>
          <w:divsChild>
            <w:div w:id="1065756459">
              <w:marLeft w:val="0"/>
              <w:marRight w:val="0"/>
              <w:marTop w:val="0"/>
              <w:marBottom w:val="0"/>
              <w:divBdr>
                <w:top w:val="none" w:sz="0" w:space="0" w:color="auto"/>
                <w:left w:val="none" w:sz="0" w:space="0" w:color="auto"/>
                <w:bottom w:val="none" w:sz="0" w:space="0" w:color="auto"/>
                <w:right w:val="none" w:sz="0" w:space="0" w:color="auto"/>
              </w:divBdr>
              <w:divsChild>
                <w:div w:id="1972906235">
                  <w:marLeft w:val="0"/>
                  <w:marRight w:val="0"/>
                  <w:marTop w:val="0"/>
                  <w:marBottom w:val="0"/>
                  <w:divBdr>
                    <w:top w:val="none" w:sz="0" w:space="0" w:color="auto"/>
                    <w:left w:val="none" w:sz="0" w:space="0" w:color="auto"/>
                    <w:bottom w:val="none" w:sz="0" w:space="0" w:color="auto"/>
                    <w:right w:val="none" w:sz="0" w:space="0" w:color="auto"/>
                  </w:divBdr>
                  <w:divsChild>
                    <w:div w:id="2059890408">
                      <w:marLeft w:val="0"/>
                      <w:marRight w:val="0"/>
                      <w:marTop w:val="0"/>
                      <w:marBottom w:val="0"/>
                      <w:divBdr>
                        <w:top w:val="none" w:sz="0" w:space="0" w:color="auto"/>
                        <w:left w:val="none" w:sz="0" w:space="0" w:color="auto"/>
                        <w:bottom w:val="none" w:sz="0" w:space="0" w:color="auto"/>
                        <w:right w:val="none" w:sz="0" w:space="0" w:color="auto"/>
                      </w:divBdr>
                      <w:divsChild>
                        <w:div w:id="1165973944">
                          <w:marLeft w:val="0"/>
                          <w:marRight w:val="0"/>
                          <w:marTop w:val="0"/>
                          <w:marBottom w:val="0"/>
                          <w:divBdr>
                            <w:top w:val="none" w:sz="0" w:space="0" w:color="auto"/>
                            <w:left w:val="none" w:sz="0" w:space="0" w:color="auto"/>
                            <w:bottom w:val="none" w:sz="0" w:space="0" w:color="auto"/>
                            <w:right w:val="none" w:sz="0" w:space="0" w:color="auto"/>
                          </w:divBdr>
                          <w:divsChild>
                            <w:div w:id="685519170">
                              <w:marLeft w:val="0"/>
                              <w:marRight w:val="0"/>
                              <w:marTop w:val="0"/>
                              <w:marBottom w:val="0"/>
                              <w:divBdr>
                                <w:top w:val="none" w:sz="0" w:space="0" w:color="auto"/>
                                <w:left w:val="none" w:sz="0" w:space="0" w:color="auto"/>
                                <w:bottom w:val="none" w:sz="0" w:space="0" w:color="auto"/>
                                <w:right w:val="none" w:sz="0" w:space="0" w:color="auto"/>
                              </w:divBdr>
                              <w:divsChild>
                                <w:div w:id="1468473617">
                                  <w:marLeft w:val="0"/>
                                  <w:marRight w:val="0"/>
                                  <w:marTop w:val="0"/>
                                  <w:marBottom w:val="0"/>
                                  <w:divBdr>
                                    <w:top w:val="none" w:sz="0" w:space="0" w:color="auto"/>
                                    <w:left w:val="none" w:sz="0" w:space="0" w:color="auto"/>
                                    <w:bottom w:val="none" w:sz="0" w:space="0" w:color="auto"/>
                                    <w:right w:val="none" w:sz="0" w:space="0" w:color="auto"/>
                                  </w:divBdr>
                                  <w:divsChild>
                                    <w:div w:id="47653576">
                                      <w:marLeft w:val="0"/>
                                      <w:marRight w:val="0"/>
                                      <w:marTop w:val="0"/>
                                      <w:marBottom w:val="0"/>
                                      <w:divBdr>
                                        <w:top w:val="none" w:sz="0" w:space="0" w:color="auto"/>
                                        <w:left w:val="none" w:sz="0" w:space="0" w:color="auto"/>
                                        <w:bottom w:val="none" w:sz="0" w:space="0" w:color="auto"/>
                                        <w:right w:val="none" w:sz="0" w:space="0" w:color="auto"/>
                                      </w:divBdr>
                                      <w:divsChild>
                                        <w:div w:id="5600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7552839">
      <w:bodyDiv w:val="1"/>
      <w:marLeft w:val="0"/>
      <w:marRight w:val="0"/>
      <w:marTop w:val="0"/>
      <w:marBottom w:val="0"/>
      <w:divBdr>
        <w:top w:val="none" w:sz="0" w:space="0" w:color="auto"/>
        <w:left w:val="none" w:sz="0" w:space="0" w:color="auto"/>
        <w:bottom w:val="none" w:sz="0" w:space="0" w:color="auto"/>
        <w:right w:val="none" w:sz="0" w:space="0" w:color="auto"/>
      </w:divBdr>
      <w:divsChild>
        <w:div w:id="2016959970">
          <w:marLeft w:val="0"/>
          <w:marRight w:val="0"/>
          <w:marTop w:val="0"/>
          <w:marBottom w:val="0"/>
          <w:divBdr>
            <w:top w:val="none" w:sz="0" w:space="0" w:color="auto"/>
            <w:left w:val="none" w:sz="0" w:space="0" w:color="auto"/>
            <w:bottom w:val="none" w:sz="0" w:space="0" w:color="auto"/>
            <w:right w:val="none" w:sz="0" w:space="0" w:color="auto"/>
          </w:divBdr>
          <w:divsChild>
            <w:div w:id="353502301">
              <w:marLeft w:val="0"/>
              <w:marRight w:val="0"/>
              <w:marTop w:val="0"/>
              <w:marBottom w:val="0"/>
              <w:divBdr>
                <w:top w:val="none" w:sz="0" w:space="0" w:color="auto"/>
                <w:left w:val="none" w:sz="0" w:space="0" w:color="auto"/>
                <w:bottom w:val="none" w:sz="0" w:space="0" w:color="auto"/>
                <w:right w:val="none" w:sz="0" w:space="0" w:color="auto"/>
              </w:divBdr>
              <w:divsChild>
                <w:div w:id="1802110009">
                  <w:marLeft w:val="0"/>
                  <w:marRight w:val="0"/>
                  <w:marTop w:val="0"/>
                  <w:marBottom w:val="0"/>
                  <w:divBdr>
                    <w:top w:val="none" w:sz="0" w:space="0" w:color="auto"/>
                    <w:left w:val="none" w:sz="0" w:space="0" w:color="auto"/>
                    <w:bottom w:val="none" w:sz="0" w:space="0" w:color="auto"/>
                    <w:right w:val="none" w:sz="0" w:space="0" w:color="auto"/>
                  </w:divBdr>
                  <w:divsChild>
                    <w:div w:id="1142849267">
                      <w:marLeft w:val="0"/>
                      <w:marRight w:val="0"/>
                      <w:marTop w:val="0"/>
                      <w:marBottom w:val="0"/>
                      <w:divBdr>
                        <w:top w:val="none" w:sz="0" w:space="0" w:color="auto"/>
                        <w:left w:val="none" w:sz="0" w:space="0" w:color="auto"/>
                        <w:bottom w:val="none" w:sz="0" w:space="0" w:color="auto"/>
                        <w:right w:val="none" w:sz="0" w:space="0" w:color="auto"/>
                      </w:divBdr>
                      <w:divsChild>
                        <w:div w:id="1078939025">
                          <w:marLeft w:val="0"/>
                          <w:marRight w:val="0"/>
                          <w:marTop w:val="0"/>
                          <w:marBottom w:val="0"/>
                          <w:divBdr>
                            <w:top w:val="none" w:sz="0" w:space="0" w:color="auto"/>
                            <w:left w:val="none" w:sz="0" w:space="0" w:color="auto"/>
                            <w:bottom w:val="none" w:sz="0" w:space="0" w:color="auto"/>
                            <w:right w:val="none" w:sz="0" w:space="0" w:color="auto"/>
                          </w:divBdr>
                          <w:divsChild>
                            <w:div w:id="326832484">
                              <w:marLeft w:val="0"/>
                              <w:marRight w:val="0"/>
                              <w:marTop w:val="0"/>
                              <w:marBottom w:val="0"/>
                              <w:divBdr>
                                <w:top w:val="none" w:sz="0" w:space="0" w:color="auto"/>
                                <w:left w:val="none" w:sz="0" w:space="0" w:color="auto"/>
                                <w:bottom w:val="none" w:sz="0" w:space="0" w:color="auto"/>
                                <w:right w:val="none" w:sz="0" w:space="0" w:color="auto"/>
                              </w:divBdr>
                              <w:divsChild>
                                <w:div w:id="874151839">
                                  <w:marLeft w:val="0"/>
                                  <w:marRight w:val="0"/>
                                  <w:marTop w:val="0"/>
                                  <w:marBottom w:val="0"/>
                                  <w:divBdr>
                                    <w:top w:val="none" w:sz="0" w:space="0" w:color="auto"/>
                                    <w:left w:val="none" w:sz="0" w:space="0" w:color="auto"/>
                                    <w:bottom w:val="none" w:sz="0" w:space="0" w:color="auto"/>
                                    <w:right w:val="none" w:sz="0" w:space="0" w:color="auto"/>
                                  </w:divBdr>
                                  <w:divsChild>
                                    <w:div w:id="53939876">
                                      <w:marLeft w:val="0"/>
                                      <w:marRight w:val="0"/>
                                      <w:marTop w:val="0"/>
                                      <w:marBottom w:val="0"/>
                                      <w:divBdr>
                                        <w:top w:val="none" w:sz="0" w:space="0" w:color="auto"/>
                                        <w:left w:val="none" w:sz="0" w:space="0" w:color="auto"/>
                                        <w:bottom w:val="none" w:sz="0" w:space="0" w:color="auto"/>
                                        <w:right w:val="none" w:sz="0" w:space="0" w:color="auto"/>
                                      </w:divBdr>
                                      <w:divsChild>
                                        <w:div w:id="7796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504786">
      <w:bodyDiv w:val="1"/>
      <w:marLeft w:val="0"/>
      <w:marRight w:val="0"/>
      <w:marTop w:val="0"/>
      <w:marBottom w:val="0"/>
      <w:divBdr>
        <w:top w:val="none" w:sz="0" w:space="0" w:color="auto"/>
        <w:left w:val="none" w:sz="0" w:space="0" w:color="auto"/>
        <w:bottom w:val="none" w:sz="0" w:space="0" w:color="auto"/>
        <w:right w:val="none" w:sz="0" w:space="0" w:color="auto"/>
      </w:divBdr>
      <w:divsChild>
        <w:div w:id="1991208689">
          <w:marLeft w:val="0"/>
          <w:marRight w:val="0"/>
          <w:marTop w:val="0"/>
          <w:marBottom w:val="0"/>
          <w:divBdr>
            <w:top w:val="none" w:sz="0" w:space="0" w:color="auto"/>
            <w:left w:val="none" w:sz="0" w:space="0" w:color="auto"/>
            <w:bottom w:val="none" w:sz="0" w:space="0" w:color="auto"/>
            <w:right w:val="none" w:sz="0" w:space="0" w:color="auto"/>
          </w:divBdr>
          <w:divsChild>
            <w:div w:id="1702169233">
              <w:marLeft w:val="0"/>
              <w:marRight w:val="0"/>
              <w:marTop w:val="0"/>
              <w:marBottom w:val="0"/>
              <w:divBdr>
                <w:top w:val="none" w:sz="0" w:space="0" w:color="auto"/>
                <w:left w:val="none" w:sz="0" w:space="0" w:color="auto"/>
                <w:bottom w:val="none" w:sz="0" w:space="0" w:color="auto"/>
                <w:right w:val="none" w:sz="0" w:space="0" w:color="auto"/>
              </w:divBdr>
              <w:divsChild>
                <w:div w:id="1577863529">
                  <w:marLeft w:val="0"/>
                  <w:marRight w:val="0"/>
                  <w:marTop w:val="0"/>
                  <w:marBottom w:val="0"/>
                  <w:divBdr>
                    <w:top w:val="none" w:sz="0" w:space="0" w:color="auto"/>
                    <w:left w:val="none" w:sz="0" w:space="0" w:color="auto"/>
                    <w:bottom w:val="none" w:sz="0" w:space="0" w:color="auto"/>
                    <w:right w:val="none" w:sz="0" w:space="0" w:color="auto"/>
                  </w:divBdr>
                  <w:divsChild>
                    <w:div w:id="1220626132">
                      <w:marLeft w:val="0"/>
                      <w:marRight w:val="0"/>
                      <w:marTop w:val="0"/>
                      <w:marBottom w:val="0"/>
                      <w:divBdr>
                        <w:top w:val="none" w:sz="0" w:space="0" w:color="auto"/>
                        <w:left w:val="none" w:sz="0" w:space="0" w:color="auto"/>
                        <w:bottom w:val="none" w:sz="0" w:space="0" w:color="auto"/>
                        <w:right w:val="none" w:sz="0" w:space="0" w:color="auto"/>
                      </w:divBdr>
                      <w:divsChild>
                        <w:div w:id="594245759">
                          <w:marLeft w:val="0"/>
                          <w:marRight w:val="0"/>
                          <w:marTop w:val="0"/>
                          <w:marBottom w:val="0"/>
                          <w:divBdr>
                            <w:top w:val="none" w:sz="0" w:space="0" w:color="auto"/>
                            <w:left w:val="none" w:sz="0" w:space="0" w:color="auto"/>
                            <w:bottom w:val="none" w:sz="0" w:space="0" w:color="auto"/>
                            <w:right w:val="none" w:sz="0" w:space="0" w:color="auto"/>
                          </w:divBdr>
                          <w:divsChild>
                            <w:div w:id="673266850">
                              <w:marLeft w:val="0"/>
                              <w:marRight w:val="0"/>
                              <w:marTop w:val="0"/>
                              <w:marBottom w:val="0"/>
                              <w:divBdr>
                                <w:top w:val="none" w:sz="0" w:space="0" w:color="auto"/>
                                <w:left w:val="none" w:sz="0" w:space="0" w:color="auto"/>
                                <w:bottom w:val="none" w:sz="0" w:space="0" w:color="auto"/>
                                <w:right w:val="none" w:sz="0" w:space="0" w:color="auto"/>
                              </w:divBdr>
                              <w:divsChild>
                                <w:div w:id="1798916099">
                                  <w:marLeft w:val="0"/>
                                  <w:marRight w:val="0"/>
                                  <w:marTop w:val="0"/>
                                  <w:marBottom w:val="0"/>
                                  <w:divBdr>
                                    <w:top w:val="none" w:sz="0" w:space="0" w:color="auto"/>
                                    <w:left w:val="none" w:sz="0" w:space="0" w:color="auto"/>
                                    <w:bottom w:val="none" w:sz="0" w:space="0" w:color="auto"/>
                                    <w:right w:val="none" w:sz="0" w:space="0" w:color="auto"/>
                                  </w:divBdr>
                                  <w:divsChild>
                                    <w:div w:id="439834376">
                                      <w:marLeft w:val="0"/>
                                      <w:marRight w:val="0"/>
                                      <w:marTop w:val="0"/>
                                      <w:marBottom w:val="0"/>
                                      <w:divBdr>
                                        <w:top w:val="single" w:sz="4" w:space="0" w:color="F5F5F5"/>
                                        <w:left w:val="single" w:sz="4" w:space="0" w:color="F5F5F5"/>
                                        <w:bottom w:val="single" w:sz="4" w:space="0" w:color="F5F5F5"/>
                                        <w:right w:val="single" w:sz="4" w:space="0" w:color="F5F5F5"/>
                                      </w:divBdr>
                                      <w:divsChild>
                                        <w:div w:id="1203588712">
                                          <w:marLeft w:val="0"/>
                                          <w:marRight w:val="0"/>
                                          <w:marTop w:val="0"/>
                                          <w:marBottom w:val="0"/>
                                          <w:divBdr>
                                            <w:top w:val="none" w:sz="0" w:space="0" w:color="auto"/>
                                            <w:left w:val="none" w:sz="0" w:space="0" w:color="auto"/>
                                            <w:bottom w:val="none" w:sz="0" w:space="0" w:color="auto"/>
                                            <w:right w:val="none" w:sz="0" w:space="0" w:color="auto"/>
                                          </w:divBdr>
                                          <w:divsChild>
                                            <w:div w:id="11558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2227143">
      <w:bodyDiv w:val="1"/>
      <w:marLeft w:val="0"/>
      <w:marRight w:val="0"/>
      <w:marTop w:val="0"/>
      <w:marBottom w:val="0"/>
      <w:divBdr>
        <w:top w:val="none" w:sz="0" w:space="0" w:color="auto"/>
        <w:left w:val="none" w:sz="0" w:space="0" w:color="auto"/>
        <w:bottom w:val="none" w:sz="0" w:space="0" w:color="auto"/>
        <w:right w:val="none" w:sz="0" w:space="0" w:color="auto"/>
      </w:divBdr>
      <w:divsChild>
        <w:div w:id="1036655997">
          <w:marLeft w:val="0"/>
          <w:marRight w:val="0"/>
          <w:marTop w:val="0"/>
          <w:marBottom w:val="0"/>
          <w:divBdr>
            <w:top w:val="none" w:sz="0" w:space="0" w:color="auto"/>
            <w:left w:val="none" w:sz="0" w:space="0" w:color="auto"/>
            <w:bottom w:val="none" w:sz="0" w:space="0" w:color="auto"/>
            <w:right w:val="none" w:sz="0" w:space="0" w:color="auto"/>
          </w:divBdr>
          <w:divsChild>
            <w:div w:id="1174496758">
              <w:marLeft w:val="0"/>
              <w:marRight w:val="0"/>
              <w:marTop w:val="0"/>
              <w:marBottom w:val="0"/>
              <w:divBdr>
                <w:top w:val="none" w:sz="0" w:space="0" w:color="auto"/>
                <w:left w:val="none" w:sz="0" w:space="0" w:color="auto"/>
                <w:bottom w:val="none" w:sz="0" w:space="0" w:color="auto"/>
                <w:right w:val="none" w:sz="0" w:space="0" w:color="auto"/>
              </w:divBdr>
              <w:divsChild>
                <w:div w:id="891816092">
                  <w:marLeft w:val="0"/>
                  <w:marRight w:val="0"/>
                  <w:marTop w:val="0"/>
                  <w:marBottom w:val="0"/>
                  <w:divBdr>
                    <w:top w:val="none" w:sz="0" w:space="0" w:color="auto"/>
                    <w:left w:val="none" w:sz="0" w:space="0" w:color="auto"/>
                    <w:bottom w:val="none" w:sz="0" w:space="0" w:color="auto"/>
                    <w:right w:val="none" w:sz="0" w:space="0" w:color="auto"/>
                  </w:divBdr>
                  <w:divsChild>
                    <w:div w:id="1541432121">
                      <w:marLeft w:val="0"/>
                      <w:marRight w:val="0"/>
                      <w:marTop w:val="0"/>
                      <w:marBottom w:val="0"/>
                      <w:divBdr>
                        <w:top w:val="none" w:sz="0" w:space="0" w:color="auto"/>
                        <w:left w:val="none" w:sz="0" w:space="0" w:color="auto"/>
                        <w:bottom w:val="none" w:sz="0" w:space="0" w:color="auto"/>
                        <w:right w:val="none" w:sz="0" w:space="0" w:color="auto"/>
                      </w:divBdr>
                      <w:divsChild>
                        <w:div w:id="1627588307">
                          <w:marLeft w:val="0"/>
                          <w:marRight w:val="0"/>
                          <w:marTop w:val="0"/>
                          <w:marBottom w:val="0"/>
                          <w:divBdr>
                            <w:top w:val="none" w:sz="0" w:space="0" w:color="auto"/>
                            <w:left w:val="none" w:sz="0" w:space="0" w:color="auto"/>
                            <w:bottom w:val="none" w:sz="0" w:space="0" w:color="auto"/>
                            <w:right w:val="none" w:sz="0" w:space="0" w:color="auto"/>
                          </w:divBdr>
                          <w:divsChild>
                            <w:div w:id="1029180336">
                              <w:marLeft w:val="0"/>
                              <w:marRight w:val="0"/>
                              <w:marTop w:val="0"/>
                              <w:marBottom w:val="0"/>
                              <w:divBdr>
                                <w:top w:val="none" w:sz="0" w:space="0" w:color="auto"/>
                                <w:left w:val="none" w:sz="0" w:space="0" w:color="auto"/>
                                <w:bottom w:val="none" w:sz="0" w:space="0" w:color="auto"/>
                                <w:right w:val="none" w:sz="0" w:space="0" w:color="auto"/>
                              </w:divBdr>
                              <w:divsChild>
                                <w:div w:id="156848212">
                                  <w:marLeft w:val="0"/>
                                  <w:marRight w:val="0"/>
                                  <w:marTop w:val="0"/>
                                  <w:marBottom w:val="0"/>
                                  <w:divBdr>
                                    <w:top w:val="none" w:sz="0" w:space="0" w:color="auto"/>
                                    <w:left w:val="none" w:sz="0" w:space="0" w:color="auto"/>
                                    <w:bottom w:val="none" w:sz="0" w:space="0" w:color="auto"/>
                                    <w:right w:val="none" w:sz="0" w:space="0" w:color="auto"/>
                                  </w:divBdr>
                                  <w:divsChild>
                                    <w:div w:id="1150554524">
                                      <w:marLeft w:val="0"/>
                                      <w:marRight w:val="0"/>
                                      <w:marTop w:val="0"/>
                                      <w:marBottom w:val="0"/>
                                      <w:divBdr>
                                        <w:top w:val="single" w:sz="4" w:space="0" w:color="F5F5F5"/>
                                        <w:left w:val="single" w:sz="4" w:space="0" w:color="F5F5F5"/>
                                        <w:bottom w:val="single" w:sz="4" w:space="0" w:color="F5F5F5"/>
                                        <w:right w:val="single" w:sz="4" w:space="0" w:color="F5F5F5"/>
                                      </w:divBdr>
                                      <w:divsChild>
                                        <w:div w:id="1793328884">
                                          <w:marLeft w:val="0"/>
                                          <w:marRight w:val="0"/>
                                          <w:marTop w:val="0"/>
                                          <w:marBottom w:val="0"/>
                                          <w:divBdr>
                                            <w:top w:val="none" w:sz="0" w:space="0" w:color="auto"/>
                                            <w:left w:val="none" w:sz="0" w:space="0" w:color="auto"/>
                                            <w:bottom w:val="none" w:sz="0" w:space="0" w:color="auto"/>
                                            <w:right w:val="none" w:sz="0" w:space="0" w:color="auto"/>
                                          </w:divBdr>
                                          <w:divsChild>
                                            <w:div w:id="129305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6081953">
      <w:bodyDiv w:val="1"/>
      <w:marLeft w:val="0"/>
      <w:marRight w:val="0"/>
      <w:marTop w:val="0"/>
      <w:marBottom w:val="0"/>
      <w:divBdr>
        <w:top w:val="none" w:sz="0" w:space="0" w:color="auto"/>
        <w:left w:val="none" w:sz="0" w:space="0" w:color="auto"/>
        <w:bottom w:val="none" w:sz="0" w:space="0" w:color="auto"/>
        <w:right w:val="none" w:sz="0" w:space="0" w:color="auto"/>
      </w:divBdr>
      <w:divsChild>
        <w:div w:id="515651533">
          <w:marLeft w:val="0"/>
          <w:marRight w:val="0"/>
          <w:marTop w:val="0"/>
          <w:marBottom w:val="0"/>
          <w:divBdr>
            <w:top w:val="none" w:sz="0" w:space="0" w:color="auto"/>
            <w:left w:val="none" w:sz="0" w:space="0" w:color="auto"/>
            <w:bottom w:val="none" w:sz="0" w:space="0" w:color="auto"/>
            <w:right w:val="none" w:sz="0" w:space="0" w:color="auto"/>
          </w:divBdr>
          <w:divsChild>
            <w:div w:id="64761476">
              <w:marLeft w:val="0"/>
              <w:marRight w:val="0"/>
              <w:marTop w:val="0"/>
              <w:marBottom w:val="0"/>
              <w:divBdr>
                <w:top w:val="none" w:sz="0" w:space="0" w:color="auto"/>
                <w:left w:val="none" w:sz="0" w:space="0" w:color="auto"/>
                <w:bottom w:val="none" w:sz="0" w:space="0" w:color="auto"/>
                <w:right w:val="none" w:sz="0" w:space="0" w:color="auto"/>
              </w:divBdr>
              <w:divsChild>
                <w:div w:id="1209024263">
                  <w:marLeft w:val="0"/>
                  <w:marRight w:val="0"/>
                  <w:marTop w:val="0"/>
                  <w:marBottom w:val="0"/>
                  <w:divBdr>
                    <w:top w:val="none" w:sz="0" w:space="0" w:color="auto"/>
                    <w:left w:val="none" w:sz="0" w:space="0" w:color="auto"/>
                    <w:bottom w:val="none" w:sz="0" w:space="0" w:color="auto"/>
                    <w:right w:val="none" w:sz="0" w:space="0" w:color="auto"/>
                  </w:divBdr>
                  <w:divsChild>
                    <w:div w:id="1271426147">
                      <w:marLeft w:val="0"/>
                      <w:marRight w:val="0"/>
                      <w:marTop w:val="0"/>
                      <w:marBottom w:val="0"/>
                      <w:divBdr>
                        <w:top w:val="none" w:sz="0" w:space="0" w:color="auto"/>
                        <w:left w:val="none" w:sz="0" w:space="0" w:color="auto"/>
                        <w:bottom w:val="none" w:sz="0" w:space="0" w:color="auto"/>
                        <w:right w:val="none" w:sz="0" w:space="0" w:color="auto"/>
                      </w:divBdr>
                      <w:divsChild>
                        <w:div w:id="1802377740">
                          <w:marLeft w:val="0"/>
                          <w:marRight w:val="0"/>
                          <w:marTop w:val="0"/>
                          <w:marBottom w:val="0"/>
                          <w:divBdr>
                            <w:top w:val="none" w:sz="0" w:space="0" w:color="auto"/>
                            <w:left w:val="none" w:sz="0" w:space="0" w:color="auto"/>
                            <w:bottom w:val="none" w:sz="0" w:space="0" w:color="auto"/>
                            <w:right w:val="none" w:sz="0" w:space="0" w:color="auto"/>
                          </w:divBdr>
                          <w:divsChild>
                            <w:div w:id="258410005">
                              <w:marLeft w:val="0"/>
                              <w:marRight w:val="0"/>
                              <w:marTop w:val="0"/>
                              <w:marBottom w:val="0"/>
                              <w:divBdr>
                                <w:top w:val="none" w:sz="0" w:space="0" w:color="auto"/>
                                <w:left w:val="none" w:sz="0" w:space="0" w:color="auto"/>
                                <w:bottom w:val="none" w:sz="0" w:space="0" w:color="auto"/>
                                <w:right w:val="none" w:sz="0" w:space="0" w:color="auto"/>
                              </w:divBdr>
                              <w:divsChild>
                                <w:div w:id="1391028508">
                                  <w:marLeft w:val="0"/>
                                  <w:marRight w:val="0"/>
                                  <w:marTop w:val="0"/>
                                  <w:marBottom w:val="0"/>
                                  <w:divBdr>
                                    <w:top w:val="none" w:sz="0" w:space="0" w:color="auto"/>
                                    <w:left w:val="none" w:sz="0" w:space="0" w:color="auto"/>
                                    <w:bottom w:val="none" w:sz="0" w:space="0" w:color="auto"/>
                                    <w:right w:val="none" w:sz="0" w:space="0" w:color="auto"/>
                                  </w:divBdr>
                                  <w:divsChild>
                                    <w:div w:id="798693553">
                                      <w:marLeft w:val="0"/>
                                      <w:marRight w:val="0"/>
                                      <w:marTop w:val="0"/>
                                      <w:marBottom w:val="0"/>
                                      <w:divBdr>
                                        <w:top w:val="none" w:sz="0" w:space="0" w:color="auto"/>
                                        <w:left w:val="none" w:sz="0" w:space="0" w:color="auto"/>
                                        <w:bottom w:val="none" w:sz="0" w:space="0" w:color="auto"/>
                                        <w:right w:val="none" w:sz="0" w:space="0" w:color="auto"/>
                                      </w:divBdr>
                                      <w:divsChild>
                                        <w:div w:id="1153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605084">
      <w:bodyDiv w:val="1"/>
      <w:marLeft w:val="0"/>
      <w:marRight w:val="0"/>
      <w:marTop w:val="0"/>
      <w:marBottom w:val="0"/>
      <w:divBdr>
        <w:top w:val="none" w:sz="0" w:space="0" w:color="auto"/>
        <w:left w:val="none" w:sz="0" w:space="0" w:color="auto"/>
        <w:bottom w:val="none" w:sz="0" w:space="0" w:color="auto"/>
        <w:right w:val="none" w:sz="0" w:space="0" w:color="auto"/>
      </w:divBdr>
      <w:divsChild>
        <w:div w:id="118764353">
          <w:marLeft w:val="0"/>
          <w:marRight w:val="0"/>
          <w:marTop w:val="0"/>
          <w:marBottom w:val="0"/>
          <w:divBdr>
            <w:top w:val="none" w:sz="0" w:space="0" w:color="auto"/>
            <w:left w:val="none" w:sz="0" w:space="0" w:color="auto"/>
            <w:bottom w:val="none" w:sz="0" w:space="0" w:color="auto"/>
            <w:right w:val="none" w:sz="0" w:space="0" w:color="auto"/>
          </w:divBdr>
          <w:divsChild>
            <w:div w:id="1573008725">
              <w:marLeft w:val="0"/>
              <w:marRight w:val="0"/>
              <w:marTop w:val="0"/>
              <w:marBottom w:val="0"/>
              <w:divBdr>
                <w:top w:val="none" w:sz="0" w:space="0" w:color="auto"/>
                <w:left w:val="none" w:sz="0" w:space="0" w:color="auto"/>
                <w:bottom w:val="none" w:sz="0" w:space="0" w:color="auto"/>
                <w:right w:val="none" w:sz="0" w:space="0" w:color="auto"/>
              </w:divBdr>
              <w:divsChild>
                <w:div w:id="1299263290">
                  <w:marLeft w:val="0"/>
                  <w:marRight w:val="0"/>
                  <w:marTop w:val="0"/>
                  <w:marBottom w:val="0"/>
                  <w:divBdr>
                    <w:top w:val="none" w:sz="0" w:space="0" w:color="auto"/>
                    <w:left w:val="none" w:sz="0" w:space="0" w:color="auto"/>
                    <w:bottom w:val="none" w:sz="0" w:space="0" w:color="auto"/>
                    <w:right w:val="none" w:sz="0" w:space="0" w:color="auto"/>
                  </w:divBdr>
                  <w:divsChild>
                    <w:div w:id="161087570">
                      <w:marLeft w:val="0"/>
                      <w:marRight w:val="0"/>
                      <w:marTop w:val="0"/>
                      <w:marBottom w:val="0"/>
                      <w:divBdr>
                        <w:top w:val="none" w:sz="0" w:space="0" w:color="auto"/>
                        <w:left w:val="none" w:sz="0" w:space="0" w:color="auto"/>
                        <w:bottom w:val="none" w:sz="0" w:space="0" w:color="auto"/>
                        <w:right w:val="none" w:sz="0" w:space="0" w:color="auto"/>
                      </w:divBdr>
                      <w:divsChild>
                        <w:div w:id="496650228">
                          <w:marLeft w:val="0"/>
                          <w:marRight w:val="0"/>
                          <w:marTop w:val="0"/>
                          <w:marBottom w:val="0"/>
                          <w:divBdr>
                            <w:top w:val="none" w:sz="0" w:space="0" w:color="auto"/>
                            <w:left w:val="none" w:sz="0" w:space="0" w:color="auto"/>
                            <w:bottom w:val="none" w:sz="0" w:space="0" w:color="auto"/>
                            <w:right w:val="none" w:sz="0" w:space="0" w:color="auto"/>
                          </w:divBdr>
                          <w:divsChild>
                            <w:div w:id="207376183">
                              <w:marLeft w:val="0"/>
                              <w:marRight w:val="0"/>
                              <w:marTop w:val="0"/>
                              <w:marBottom w:val="0"/>
                              <w:divBdr>
                                <w:top w:val="none" w:sz="0" w:space="0" w:color="auto"/>
                                <w:left w:val="none" w:sz="0" w:space="0" w:color="auto"/>
                                <w:bottom w:val="none" w:sz="0" w:space="0" w:color="auto"/>
                                <w:right w:val="none" w:sz="0" w:space="0" w:color="auto"/>
                              </w:divBdr>
                              <w:divsChild>
                                <w:div w:id="153691372">
                                  <w:marLeft w:val="0"/>
                                  <w:marRight w:val="0"/>
                                  <w:marTop w:val="0"/>
                                  <w:marBottom w:val="0"/>
                                  <w:divBdr>
                                    <w:top w:val="none" w:sz="0" w:space="0" w:color="auto"/>
                                    <w:left w:val="none" w:sz="0" w:space="0" w:color="auto"/>
                                    <w:bottom w:val="none" w:sz="0" w:space="0" w:color="auto"/>
                                    <w:right w:val="none" w:sz="0" w:space="0" w:color="auto"/>
                                  </w:divBdr>
                                  <w:divsChild>
                                    <w:div w:id="1658412255">
                                      <w:marLeft w:val="0"/>
                                      <w:marRight w:val="0"/>
                                      <w:marTop w:val="0"/>
                                      <w:marBottom w:val="0"/>
                                      <w:divBdr>
                                        <w:top w:val="none" w:sz="0" w:space="0" w:color="auto"/>
                                        <w:left w:val="none" w:sz="0" w:space="0" w:color="auto"/>
                                        <w:bottom w:val="none" w:sz="0" w:space="0" w:color="auto"/>
                                        <w:right w:val="none" w:sz="0" w:space="0" w:color="auto"/>
                                      </w:divBdr>
                                      <w:divsChild>
                                        <w:div w:id="11054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0424392">
      <w:bodyDiv w:val="1"/>
      <w:marLeft w:val="0"/>
      <w:marRight w:val="0"/>
      <w:marTop w:val="0"/>
      <w:marBottom w:val="0"/>
      <w:divBdr>
        <w:top w:val="none" w:sz="0" w:space="0" w:color="auto"/>
        <w:left w:val="none" w:sz="0" w:space="0" w:color="auto"/>
        <w:bottom w:val="none" w:sz="0" w:space="0" w:color="auto"/>
        <w:right w:val="none" w:sz="0" w:space="0" w:color="auto"/>
      </w:divBdr>
      <w:divsChild>
        <w:div w:id="515968921">
          <w:marLeft w:val="0"/>
          <w:marRight w:val="0"/>
          <w:marTop w:val="0"/>
          <w:marBottom w:val="0"/>
          <w:divBdr>
            <w:top w:val="none" w:sz="0" w:space="0" w:color="auto"/>
            <w:left w:val="none" w:sz="0" w:space="0" w:color="auto"/>
            <w:bottom w:val="none" w:sz="0" w:space="0" w:color="auto"/>
            <w:right w:val="none" w:sz="0" w:space="0" w:color="auto"/>
          </w:divBdr>
          <w:divsChild>
            <w:div w:id="2101871126">
              <w:marLeft w:val="0"/>
              <w:marRight w:val="0"/>
              <w:marTop w:val="0"/>
              <w:marBottom w:val="0"/>
              <w:divBdr>
                <w:top w:val="none" w:sz="0" w:space="0" w:color="auto"/>
                <w:left w:val="none" w:sz="0" w:space="0" w:color="auto"/>
                <w:bottom w:val="none" w:sz="0" w:space="0" w:color="auto"/>
                <w:right w:val="none" w:sz="0" w:space="0" w:color="auto"/>
              </w:divBdr>
              <w:divsChild>
                <w:div w:id="1910455894">
                  <w:marLeft w:val="0"/>
                  <w:marRight w:val="0"/>
                  <w:marTop w:val="0"/>
                  <w:marBottom w:val="0"/>
                  <w:divBdr>
                    <w:top w:val="none" w:sz="0" w:space="0" w:color="auto"/>
                    <w:left w:val="none" w:sz="0" w:space="0" w:color="auto"/>
                    <w:bottom w:val="none" w:sz="0" w:space="0" w:color="auto"/>
                    <w:right w:val="none" w:sz="0" w:space="0" w:color="auto"/>
                  </w:divBdr>
                  <w:divsChild>
                    <w:div w:id="181164428">
                      <w:marLeft w:val="0"/>
                      <w:marRight w:val="0"/>
                      <w:marTop w:val="0"/>
                      <w:marBottom w:val="0"/>
                      <w:divBdr>
                        <w:top w:val="none" w:sz="0" w:space="0" w:color="auto"/>
                        <w:left w:val="none" w:sz="0" w:space="0" w:color="auto"/>
                        <w:bottom w:val="none" w:sz="0" w:space="0" w:color="auto"/>
                        <w:right w:val="none" w:sz="0" w:space="0" w:color="auto"/>
                      </w:divBdr>
                      <w:divsChild>
                        <w:div w:id="890650498">
                          <w:marLeft w:val="0"/>
                          <w:marRight w:val="0"/>
                          <w:marTop w:val="0"/>
                          <w:marBottom w:val="0"/>
                          <w:divBdr>
                            <w:top w:val="none" w:sz="0" w:space="0" w:color="auto"/>
                            <w:left w:val="none" w:sz="0" w:space="0" w:color="auto"/>
                            <w:bottom w:val="none" w:sz="0" w:space="0" w:color="auto"/>
                            <w:right w:val="none" w:sz="0" w:space="0" w:color="auto"/>
                          </w:divBdr>
                          <w:divsChild>
                            <w:div w:id="1747681267">
                              <w:marLeft w:val="0"/>
                              <w:marRight w:val="0"/>
                              <w:marTop w:val="0"/>
                              <w:marBottom w:val="0"/>
                              <w:divBdr>
                                <w:top w:val="none" w:sz="0" w:space="0" w:color="auto"/>
                                <w:left w:val="none" w:sz="0" w:space="0" w:color="auto"/>
                                <w:bottom w:val="none" w:sz="0" w:space="0" w:color="auto"/>
                                <w:right w:val="none" w:sz="0" w:space="0" w:color="auto"/>
                              </w:divBdr>
                              <w:divsChild>
                                <w:div w:id="971982705">
                                  <w:marLeft w:val="0"/>
                                  <w:marRight w:val="0"/>
                                  <w:marTop w:val="0"/>
                                  <w:marBottom w:val="0"/>
                                  <w:divBdr>
                                    <w:top w:val="none" w:sz="0" w:space="0" w:color="auto"/>
                                    <w:left w:val="none" w:sz="0" w:space="0" w:color="auto"/>
                                    <w:bottom w:val="none" w:sz="0" w:space="0" w:color="auto"/>
                                    <w:right w:val="none" w:sz="0" w:space="0" w:color="auto"/>
                                  </w:divBdr>
                                  <w:divsChild>
                                    <w:div w:id="1966427893">
                                      <w:marLeft w:val="0"/>
                                      <w:marRight w:val="0"/>
                                      <w:marTop w:val="0"/>
                                      <w:marBottom w:val="0"/>
                                      <w:divBdr>
                                        <w:top w:val="none" w:sz="0" w:space="0" w:color="auto"/>
                                        <w:left w:val="none" w:sz="0" w:space="0" w:color="auto"/>
                                        <w:bottom w:val="none" w:sz="0" w:space="0" w:color="auto"/>
                                        <w:right w:val="none" w:sz="0" w:space="0" w:color="auto"/>
                                      </w:divBdr>
                                      <w:divsChild>
                                        <w:div w:id="6158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2277519">
      <w:bodyDiv w:val="1"/>
      <w:marLeft w:val="0"/>
      <w:marRight w:val="0"/>
      <w:marTop w:val="0"/>
      <w:marBottom w:val="0"/>
      <w:divBdr>
        <w:top w:val="none" w:sz="0" w:space="0" w:color="auto"/>
        <w:left w:val="none" w:sz="0" w:space="0" w:color="auto"/>
        <w:bottom w:val="none" w:sz="0" w:space="0" w:color="auto"/>
        <w:right w:val="none" w:sz="0" w:space="0" w:color="auto"/>
      </w:divBdr>
      <w:divsChild>
        <w:div w:id="675889336">
          <w:marLeft w:val="0"/>
          <w:marRight w:val="0"/>
          <w:marTop w:val="0"/>
          <w:marBottom w:val="0"/>
          <w:divBdr>
            <w:top w:val="none" w:sz="0" w:space="0" w:color="auto"/>
            <w:left w:val="none" w:sz="0" w:space="0" w:color="auto"/>
            <w:bottom w:val="none" w:sz="0" w:space="0" w:color="auto"/>
            <w:right w:val="none" w:sz="0" w:space="0" w:color="auto"/>
          </w:divBdr>
          <w:divsChild>
            <w:div w:id="1798448812">
              <w:marLeft w:val="0"/>
              <w:marRight w:val="0"/>
              <w:marTop w:val="0"/>
              <w:marBottom w:val="0"/>
              <w:divBdr>
                <w:top w:val="none" w:sz="0" w:space="0" w:color="auto"/>
                <w:left w:val="none" w:sz="0" w:space="0" w:color="auto"/>
                <w:bottom w:val="none" w:sz="0" w:space="0" w:color="auto"/>
                <w:right w:val="none" w:sz="0" w:space="0" w:color="auto"/>
              </w:divBdr>
              <w:divsChild>
                <w:div w:id="1049456387">
                  <w:marLeft w:val="0"/>
                  <w:marRight w:val="0"/>
                  <w:marTop w:val="0"/>
                  <w:marBottom w:val="0"/>
                  <w:divBdr>
                    <w:top w:val="none" w:sz="0" w:space="0" w:color="auto"/>
                    <w:left w:val="none" w:sz="0" w:space="0" w:color="auto"/>
                    <w:bottom w:val="none" w:sz="0" w:space="0" w:color="auto"/>
                    <w:right w:val="none" w:sz="0" w:space="0" w:color="auto"/>
                  </w:divBdr>
                  <w:divsChild>
                    <w:div w:id="393160838">
                      <w:marLeft w:val="0"/>
                      <w:marRight w:val="0"/>
                      <w:marTop w:val="0"/>
                      <w:marBottom w:val="0"/>
                      <w:divBdr>
                        <w:top w:val="none" w:sz="0" w:space="0" w:color="auto"/>
                        <w:left w:val="none" w:sz="0" w:space="0" w:color="auto"/>
                        <w:bottom w:val="none" w:sz="0" w:space="0" w:color="auto"/>
                        <w:right w:val="none" w:sz="0" w:space="0" w:color="auto"/>
                      </w:divBdr>
                      <w:divsChild>
                        <w:div w:id="1119297405">
                          <w:marLeft w:val="0"/>
                          <w:marRight w:val="0"/>
                          <w:marTop w:val="0"/>
                          <w:marBottom w:val="0"/>
                          <w:divBdr>
                            <w:top w:val="none" w:sz="0" w:space="0" w:color="auto"/>
                            <w:left w:val="none" w:sz="0" w:space="0" w:color="auto"/>
                            <w:bottom w:val="none" w:sz="0" w:space="0" w:color="auto"/>
                            <w:right w:val="none" w:sz="0" w:space="0" w:color="auto"/>
                          </w:divBdr>
                          <w:divsChild>
                            <w:div w:id="1434741345">
                              <w:marLeft w:val="0"/>
                              <w:marRight w:val="0"/>
                              <w:marTop w:val="0"/>
                              <w:marBottom w:val="0"/>
                              <w:divBdr>
                                <w:top w:val="none" w:sz="0" w:space="0" w:color="auto"/>
                                <w:left w:val="none" w:sz="0" w:space="0" w:color="auto"/>
                                <w:bottom w:val="none" w:sz="0" w:space="0" w:color="auto"/>
                                <w:right w:val="none" w:sz="0" w:space="0" w:color="auto"/>
                              </w:divBdr>
                              <w:divsChild>
                                <w:div w:id="312417875">
                                  <w:marLeft w:val="0"/>
                                  <w:marRight w:val="0"/>
                                  <w:marTop w:val="0"/>
                                  <w:marBottom w:val="0"/>
                                  <w:divBdr>
                                    <w:top w:val="none" w:sz="0" w:space="0" w:color="auto"/>
                                    <w:left w:val="none" w:sz="0" w:space="0" w:color="auto"/>
                                    <w:bottom w:val="none" w:sz="0" w:space="0" w:color="auto"/>
                                    <w:right w:val="none" w:sz="0" w:space="0" w:color="auto"/>
                                  </w:divBdr>
                                  <w:divsChild>
                                    <w:div w:id="335230610">
                                      <w:marLeft w:val="0"/>
                                      <w:marRight w:val="0"/>
                                      <w:marTop w:val="0"/>
                                      <w:marBottom w:val="0"/>
                                      <w:divBdr>
                                        <w:top w:val="single" w:sz="4" w:space="0" w:color="F5F5F5"/>
                                        <w:left w:val="single" w:sz="4" w:space="0" w:color="F5F5F5"/>
                                        <w:bottom w:val="single" w:sz="4" w:space="0" w:color="F5F5F5"/>
                                        <w:right w:val="single" w:sz="4" w:space="0" w:color="F5F5F5"/>
                                      </w:divBdr>
                                      <w:divsChild>
                                        <w:div w:id="1967004147">
                                          <w:marLeft w:val="0"/>
                                          <w:marRight w:val="0"/>
                                          <w:marTop w:val="0"/>
                                          <w:marBottom w:val="0"/>
                                          <w:divBdr>
                                            <w:top w:val="none" w:sz="0" w:space="0" w:color="auto"/>
                                            <w:left w:val="none" w:sz="0" w:space="0" w:color="auto"/>
                                            <w:bottom w:val="none" w:sz="0" w:space="0" w:color="auto"/>
                                            <w:right w:val="none" w:sz="0" w:space="0" w:color="auto"/>
                                          </w:divBdr>
                                          <w:divsChild>
                                            <w:div w:id="4256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398569">
      <w:bodyDiv w:val="1"/>
      <w:marLeft w:val="0"/>
      <w:marRight w:val="0"/>
      <w:marTop w:val="0"/>
      <w:marBottom w:val="0"/>
      <w:divBdr>
        <w:top w:val="none" w:sz="0" w:space="0" w:color="auto"/>
        <w:left w:val="none" w:sz="0" w:space="0" w:color="auto"/>
        <w:bottom w:val="none" w:sz="0" w:space="0" w:color="auto"/>
        <w:right w:val="none" w:sz="0" w:space="0" w:color="auto"/>
      </w:divBdr>
      <w:divsChild>
        <w:div w:id="806975839">
          <w:marLeft w:val="0"/>
          <w:marRight w:val="0"/>
          <w:marTop w:val="0"/>
          <w:marBottom w:val="0"/>
          <w:divBdr>
            <w:top w:val="none" w:sz="0" w:space="0" w:color="auto"/>
            <w:left w:val="none" w:sz="0" w:space="0" w:color="auto"/>
            <w:bottom w:val="none" w:sz="0" w:space="0" w:color="auto"/>
            <w:right w:val="none" w:sz="0" w:space="0" w:color="auto"/>
          </w:divBdr>
          <w:divsChild>
            <w:div w:id="1676569205">
              <w:marLeft w:val="0"/>
              <w:marRight w:val="0"/>
              <w:marTop w:val="0"/>
              <w:marBottom w:val="0"/>
              <w:divBdr>
                <w:top w:val="none" w:sz="0" w:space="0" w:color="auto"/>
                <w:left w:val="none" w:sz="0" w:space="0" w:color="auto"/>
                <w:bottom w:val="none" w:sz="0" w:space="0" w:color="auto"/>
                <w:right w:val="none" w:sz="0" w:space="0" w:color="auto"/>
              </w:divBdr>
              <w:divsChild>
                <w:div w:id="745229413">
                  <w:marLeft w:val="0"/>
                  <w:marRight w:val="0"/>
                  <w:marTop w:val="0"/>
                  <w:marBottom w:val="0"/>
                  <w:divBdr>
                    <w:top w:val="none" w:sz="0" w:space="0" w:color="auto"/>
                    <w:left w:val="none" w:sz="0" w:space="0" w:color="auto"/>
                    <w:bottom w:val="none" w:sz="0" w:space="0" w:color="auto"/>
                    <w:right w:val="none" w:sz="0" w:space="0" w:color="auto"/>
                  </w:divBdr>
                  <w:divsChild>
                    <w:div w:id="244264931">
                      <w:marLeft w:val="0"/>
                      <w:marRight w:val="0"/>
                      <w:marTop w:val="0"/>
                      <w:marBottom w:val="0"/>
                      <w:divBdr>
                        <w:top w:val="none" w:sz="0" w:space="0" w:color="auto"/>
                        <w:left w:val="none" w:sz="0" w:space="0" w:color="auto"/>
                        <w:bottom w:val="none" w:sz="0" w:space="0" w:color="auto"/>
                        <w:right w:val="none" w:sz="0" w:space="0" w:color="auto"/>
                      </w:divBdr>
                      <w:divsChild>
                        <w:div w:id="45300527">
                          <w:marLeft w:val="0"/>
                          <w:marRight w:val="0"/>
                          <w:marTop w:val="0"/>
                          <w:marBottom w:val="0"/>
                          <w:divBdr>
                            <w:top w:val="none" w:sz="0" w:space="0" w:color="auto"/>
                            <w:left w:val="none" w:sz="0" w:space="0" w:color="auto"/>
                            <w:bottom w:val="none" w:sz="0" w:space="0" w:color="auto"/>
                            <w:right w:val="none" w:sz="0" w:space="0" w:color="auto"/>
                          </w:divBdr>
                          <w:divsChild>
                            <w:div w:id="961424731">
                              <w:marLeft w:val="0"/>
                              <w:marRight w:val="0"/>
                              <w:marTop w:val="0"/>
                              <w:marBottom w:val="0"/>
                              <w:divBdr>
                                <w:top w:val="none" w:sz="0" w:space="0" w:color="auto"/>
                                <w:left w:val="none" w:sz="0" w:space="0" w:color="auto"/>
                                <w:bottom w:val="none" w:sz="0" w:space="0" w:color="auto"/>
                                <w:right w:val="none" w:sz="0" w:space="0" w:color="auto"/>
                              </w:divBdr>
                              <w:divsChild>
                                <w:div w:id="1327512311">
                                  <w:marLeft w:val="0"/>
                                  <w:marRight w:val="0"/>
                                  <w:marTop w:val="0"/>
                                  <w:marBottom w:val="0"/>
                                  <w:divBdr>
                                    <w:top w:val="none" w:sz="0" w:space="0" w:color="auto"/>
                                    <w:left w:val="none" w:sz="0" w:space="0" w:color="auto"/>
                                    <w:bottom w:val="none" w:sz="0" w:space="0" w:color="auto"/>
                                    <w:right w:val="none" w:sz="0" w:space="0" w:color="auto"/>
                                  </w:divBdr>
                                  <w:divsChild>
                                    <w:div w:id="1561940239">
                                      <w:marLeft w:val="0"/>
                                      <w:marRight w:val="0"/>
                                      <w:marTop w:val="0"/>
                                      <w:marBottom w:val="0"/>
                                      <w:divBdr>
                                        <w:top w:val="none" w:sz="0" w:space="0" w:color="auto"/>
                                        <w:left w:val="none" w:sz="0" w:space="0" w:color="auto"/>
                                        <w:bottom w:val="none" w:sz="0" w:space="0" w:color="auto"/>
                                        <w:right w:val="none" w:sz="0" w:space="0" w:color="auto"/>
                                      </w:divBdr>
                                      <w:divsChild>
                                        <w:div w:id="143354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VUKIĆEVIĆ, Jagoda</Reference>
    <Case_x0020_Year xmlns="63130c8a-8d1f-4e28-8ee3-43603ca9ef3b">2009</Case_x0020_Year>
    <Case_x0020_Status xmlns="16f2acb5-7363-4076-9084-069fc3bb4325">CASE CLOSED</Case_x0020_Status>
    <Date_x0020_of_x0020_Adoption xmlns="16f2acb5-7363-4076-9084-069fc3bb4325">2013-03-13T23:00:00+00:00</Date_x0020_of_x0020_Adoption>
    <Case_x0020_Number xmlns="16f2acb5-7363-4076-9084-069fc3bb4325">272/09</Case_x0020_Number>
    <Type_x0020_of_x0020_Document xmlns="16f2acb5-7363-4076-9084-069fc3bb4325">Opinion</Type_x0020_of_x0020_Document>
    <_dlc_DocId xmlns="b9fab99d-1571-47f6-8995-3a195ef041f8">M5JDUUKXSQ5W-25-722</_dlc_DocId>
    <_dlc_DocIdUrl xmlns="b9fab99d-1571-47f6-8995-3a195ef041f8">
      <Url>http://www.unmikonline.org/hrap/Eng/_layouts/DocIdRedir.aspx?ID=M5JDUUKXSQ5W-25-722</Url>
      <Description>M5JDUUKXSQ5W-25-722</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BBFBBA-257D-4E03-B72B-E5A066424540}"/>
</file>

<file path=customXml/itemProps2.xml><?xml version="1.0" encoding="utf-8"?>
<ds:datastoreItem xmlns:ds="http://schemas.openxmlformats.org/officeDocument/2006/customXml" ds:itemID="{187E64B2-458A-44B5-A126-2001033C9FAF}"/>
</file>

<file path=customXml/itemProps3.xml><?xml version="1.0" encoding="utf-8"?>
<ds:datastoreItem xmlns:ds="http://schemas.openxmlformats.org/officeDocument/2006/customXml" ds:itemID="{B3426174-B00D-4D3C-9C3F-DF0E5116FF3A}"/>
</file>

<file path=customXml/itemProps4.xml><?xml version="1.0" encoding="utf-8"?>
<ds:datastoreItem xmlns:ds="http://schemas.openxmlformats.org/officeDocument/2006/customXml" ds:itemID="{789B7A93-6350-453C-BDFB-9D4AF44E037C}"/>
</file>

<file path=customXml/itemProps5.xml><?xml version="1.0" encoding="utf-8"?>
<ds:datastoreItem xmlns:ds="http://schemas.openxmlformats.org/officeDocument/2006/customXml" ds:itemID="{1E4ACC05-C8A9-4595-9727-57585FA0DA60}"/>
</file>

<file path=docProps/app.xml><?xml version="1.0" encoding="utf-8"?>
<Properties xmlns="http://schemas.openxmlformats.org/officeDocument/2006/extended-properties" xmlns:vt="http://schemas.openxmlformats.org/officeDocument/2006/docPropsVTypes">
  <Template>Normal</Template>
  <TotalTime>0</TotalTime>
  <Pages>19</Pages>
  <Words>9695</Words>
  <Characters>51389</Characters>
  <Application>Microsoft Office Word</Application>
  <DocSecurity>0</DocSecurity>
  <Lines>642</Lines>
  <Paragraphs>70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61014</CharactersWithSpaces>
  <SharedDoc>false</SharedDoc>
  <HLinks>
    <vt:vector size="12" baseType="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bgardner</cp:lastModifiedBy>
  <cp:revision>2</cp:revision>
  <cp:lastPrinted>2013-03-15T09:53:00Z</cp:lastPrinted>
  <dcterms:created xsi:type="dcterms:W3CDTF">2013-05-09T13:11:00Z</dcterms:created>
  <dcterms:modified xsi:type="dcterms:W3CDTF">2013-05-09T13:11:00Z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947470a9-bcbb-4ac3-8dea-70b44e7bbb1d</vt:lpwstr>
  </property>
</Properties>
</file>